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40005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2022</w:t>
      </w:r>
    </w:p>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ind w:left="480" w:hanging="459"/>
        <w:spacing w:after="0" w:line="195" w:lineRule="auto"/>
        <w:tabs>
          <w:tab w:leader="none" w:pos="480" w:val="left"/>
        </w:tabs>
        <w:numPr>
          <w:ilvl w:val="0"/>
          <w:numId w:val="2"/>
        </w:numPr>
        <w:rPr>
          <w:rFonts w:ascii="MS PGothic" w:cs="MS PGothic" w:eastAsia="MS PGothic" w:hAnsi="MS PGothic"/>
          <w:sz w:val="8"/>
          <w:szCs w:val="8"/>
          <w:color w:val="auto"/>
          <w:highlight w:val="black"/>
        </w:rPr>
      </w:pPr>
      <w:r>
        <w:rPr>
          <w:rFonts w:ascii="Arial" w:cs="Arial" w:eastAsia="Arial" w:hAnsi="Arial"/>
          <w:sz w:val="8"/>
          <w:szCs w:val="8"/>
          <w:b w:val="1"/>
          <w:bCs w:val="1"/>
          <w:color w:val="auto"/>
        </w:rPr>
        <w:t>TRANSITION REPORT PURSUANT TO SECTION 13 OR 15(d) OF THE SECURITIES EXCHANGE ACT OF 1934 FOR THE TRANSITION</w:t>
      </w:r>
    </w:p>
    <w:p>
      <w:pPr>
        <w:spacing w:after="0" w:line="173"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5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001-39782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48895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4D Molecular Therapeutics, Inc.</w:t>
      </w:r>
    </w:p>
    <w:p>
      <w:pPr>
        <w:spacing w:after="0" w:line="51"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6000" w:type="dxa"/>
            <w:vAlign w:val="bottom"/>
          </w:tcPr>
          <w:p>
            <w:pPr>
              <w:ind w:left="220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320" w:type="dxa"/>
            <w:vAlign w:val="bottom"/>
          </w:tcPr>
          <w:p>
            <w:pPr>
              <w:spacing w:after="0"/>
              <w:rPr>
                <w:sz w:val="16"/>
                <w:szCs w:val="16"/>
                <w:color w:val="auto"/>
              </w:rPr>
            </w:pPr>
          </w:p>
        </w:tc>
      </w:tr>
      <w:tr>
        <w:trPr>
          <w:trHeight w:val="242"/>
        </w:trPr>
        <w:tc>
          <w:tcPr>
            <w:tcW w:w="6000" w:type="dxa"/>
            <w:vAlign w:val="bottom"/>
          </w:tcPr>
          <w:p>
            <w:pPr>
              <w:jc w:val="center"/>
              <w:ind w:right="3568"/>
              <w:spacing w:after="0"/>
              <w:rPr>
                <w:sz w:val="20"/>
                <w:szCs w:val="20"/>
                <w:color w:val="auto"/>
              </w:rPr>
            </w:pPr>
            <w:r>
              <w:rPr>
                <w:rFonts w:ascii="Arial" w:cs="Arial" w:eastAsia="Arial" w:hAnsi="Arial"/>
                <w:sz w:val="16"/>
                <w:szCs w:val="16"/>
                <w:b w:val="1"/>
                <w:bCs w:val="1"/>
                <w:color w:val="auto"/>
              </w:rPr>
              <w:t>Delaware</w:t>
            </w:r>
          </w:p>
        </w:tc>
        <w:tc>
          <w:tcPr>
            <w:tcW w:w="1320" w:type="dxa"/>
            <w:vAlign w:val="bottom"/>
          </w:tcPr>
          <w:p>
            <w:pPr>
              <w:jc w:val="right"/>
              <w:ind w:right="30"/>
              <w:spacing w:after="0"/>
              <w:rPr>
                <w:sz w:val="20"/>
                <w:szCs w:val="20"/>
                <w:color w:val="auto"/>
              </w:rPr>
            </w:pPr>
            <w:r>
              <w:rPr>
                <w:rFonts w:ascii="Arial" w:cs="Arial" w:eastAsia="Arial" w:hAnsi="Arial"/>
                <w:sz w:val="16"/>
                <w:szCs w:val="16"/>
                <w:b w:val="1"/>
                <w:bCs w:val="1"/>
                <w:color w:val="auto"/>
              </w:rPr>
              <w:t>47-3506994</w:t>
            </w:r>
          </w:p>
        </w:tc>
      </w:tr>
      <w:tr>
        <w:trPr>
          <w:trHeight w:val="135"/>
        </w:trPr>
        <w:tc>
          <w:tcPr>
            <w:tcW w:w="6000" w:type="dxa"/>
            <w:vAlign w:val="bottom"/>
          </w:tcPr>
          <w:p>
            <w:pPr>
              <w:jc w:val="center"/>
              <w:ind w:right="3568"/>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1320" w:type="dxa"/>
            <w:vAlign w:val="bottom"/>
          </w:tcPr>
          <w:p>
            <w:pPr>
              <w:jc w:val="center"/>
              <w:ind w:left="210"/>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66"/>
        </w:trPr>
        <w:tc>
          <w:tcPr>
            <w:tcW w:w="6000" w:type="dxa"/>
            <w:vAlign w:val="bottom"/>
          </w:tcPr>
          <w:p>
            <w:pPr>
              <w:jc w:val="center"/>
              <w:ind w:right="3568"/>
              <w:spacing w:after="0"/>
              <w:rPr>
                <w:sz w:val="20"/>
                <w:szCs w:val="20"/>
                <w:color w:val="auto"/>
              </w:rPr>
            </w:pPr>
            <w:r>
              <w:rPr>
                <w:rFonts w:ascii="Arial" w:cs="Arial" w:eastAsia="Arial" w:hAnsi="Arial"/>
                <w:sz w:val="13"/>
                <w:szCs w:val="13"/>
                <w:b w:val="1"/>
                <w:bCs w:val="1"/>
                <w:color w:val="auto"/>
                <w:w w:val="96"/>
              </w:rPr>
              <w:t>incorporation or organization)</w:t>
            </w:r>
          </w:p>
        </w:tc>
        <w:tc>
          <w:tcPr>
            <w:tcW w:w="1320" w:type="dxa"/>
            <w:vAlign w:val="bottom"/>
          </w:tcPr>
          <w:p>
            <w:pPr>
              <w:jc w:val="center"/>
              <w:ind w:left="190"/>
              <w:spacing w:after="0"/>
              <w:rPr>
                <w:sz w:val="20"/>
                <w:szCs w:val="20"/>
                <w:color w:val="auto"/>
              </w:rPr>
            </w:pPr>
            <w:r>
              <w:rPr>
                <w:rFonts w:ascii="Arial" w:cs="Arial" w:eastAsia="Arial" w:hAnsi="Arial"/>
                <w:sz w:val="13"/>
                <w:szCs w:val="13"/>
                <w:b w:val="1"/>
                <w:bCs w:val="1"/>
                <w:color w:val="auto"/>
                <w:w w:val="96"/>
              </w:rPr>
              <w:t>Identification No.)</w:t>
            </w:r>
          </w:p>
        </w:tc>
      </w:tr>
      <w:tr>
        <w:trPr>
          <w:trHeight w:val="189"/>
        </w:trPr>
        <w:tc>
          <w:tcPr>
            <w:tcW w:w="6000" w:type="dxa"/>
            <w:vAlign w:val="bottom"/>
          </w:tcPr>
          <w:p>
            <w:pPr>
              <w:jc w:val="center"/>
              <w:ind w:right="3568"/>
              <w:spacing w:after="0"/>
              <w:rPr>
                <w:sz w:val="20"/>
                <w:szCs w:val="20"/>
                <w:color w:val="auto"/>
              </w:rPr>
            </w:pPr>
            <w:r>
              <w:rPr>
                <w:rFonts w:ascii="Arial" w:cs="Arial" w:eastAsia="Arial" w:hAnsi="Arial"/>
                <w:sz w:val="16"/>
                <w:szCs w:val="16"/>
                <w:b w:val="1"/>
                <w:bCs w:val="1"/>
                <w:color w:val="auto"/>
              </w:rPr>
              <w:t>5858 Horton Street #455</w:t>
            </w:r>
          </w:p>
        </w:tc>
        <w:tc>
          <w:tcPr>
            <w:tcW w:w="1320" w:type="dxa"/>
            <w:vAlign w:val="bottom"/>
          </w:tcPr>
          <w:p>
            <w:pPr>
              <w:spacing w:after="0"/>
              <w:rPr>
                <w:sz w:val="16"/>
                <w:szCs w:val="16"/>
                <w:color w:val="auto"/>
              </w:rPr>
            </w:pPr>
          </w:p>
        </w:tc>
      </w:tr>
      <w:tr>
        <w:trPr>
          <w:trHeight w:val="212"/>
        </w:trPr>
        <w:tc>
          <w:tcPr>
            <w:tcW w:w="6000" w:type="dxa"/>
            <w:vAlign w:val="bottom"/>
          </w:tcPr>
          <w:p>
            <w:pPr>
              <w:jc w:val="center"/>
              <w:ind w:right="3568"/>
              <w:spacing w:after="0"/>
              <w:rPr>
                <w:sz w:val="20"/>
                <w:szCs w:val="20"/>
                <w:color w:val="auto"/>
              </w:rPr>
            </w:pPr>
            <w:r>
              <w:rPr>
                <w:rFonts w:ascii="Arial" w:cs="Arial" w:eastAsia="Arial" w:hAnsi="Arial"/>
                <w:sz w:val="16"/>
                <w:szCs w:val="16"/>
                <w:b w:val="1"/>
                <w:bCs w:val="1"/>
                <w:color w:val="auto"/>
                <w:w w:val="99"/>
              </w:rPr>
              <w:t>Emeryville, CA</w:t>
            </w:r>
          </w:p>
        </w:tc>
        <w:tc>
          <w:tcPr>
            <w:tcW w:w="1320" w:type="dxa"/>
            <w:vAlign w:val="bottom"/>
          </w:tcPr>
          <w:p>
            <w:pPr>
              <w:jc w:val="right"/>
              <w:ind w:right="230"/>
              <w:spacing w:after="0"/>
              <w:rPr>
                <w:sz w:val="20"/>
                <w:szCs w:val="20"/>
                <w:color w:val="auto"/>
              </w:rPr>
            </w:pPr>
            <w:r>
              <w:rPr>
                <w:rFonts w:ascii="Arial" w:cs="Arial" w:eastAsia="Arial" w:hAnsi="Arial"/>
                <w:sz w:val="16"/>
                <w:szCs w:val="16"/>
                <w:b w:val="1"/>
                <w:bCs w:val="1"/>
                <w:color w:val="auto"/>
              </w:rPr>
              <w:t>94608</w:t>
            </w:r>
          </w:p>
        </w:tc>
      </w:tr>
      <w:tr>
        <w:trPr>
          <w:trHeight w:val="166"/>
        </w:trPr>
        <w:tc>
          <w:tcPr>
            <w:tcW w:w="6000" w:type="dxa"/>
            <w:vAlign w:val="bottom"/>
          </w:tcPr>
          <w:p>
            <w:pPr>
              <w:jc w:val="center"/>
              <w:ind w:right="3568"/>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20" w:type="dxa"/>
            <w:vAlign w:val="bottom"/>
          </w:tcPr>
          <w:p>
            <w:pPr>
              <w:jc w:val="center"/>
              <w:ind w:left="190"/>
              <w:spacing w:after="0"/>
              <w:rPr>
                <w:sz w:val="20"/>
                <w:szCs w:val="20"/>
                <w:color w:val="auto"/>
              </w:rPr>
            </w:pPr>
            <w:r>
              <w:rPr>
                <w:rFonts w:ascii="Arial" w:cs="Arial" w:eastAsia="Arial" w:hAnsi="Arial"/>
                <w:sz w:val="13"/>
                <w:szCs w:val="13"/>
                <w:b w:val="1"/>
                <w:bCs w:val="1"/>
                <w:color w:val="auto"/>
                <w:w w:val="96"/>
              </w:rPr>
              <w:t>(Zip Code)</w:t>
            </w:r>
          </w:p>
        </w:tc>
      </w:tr>
    </w:tbl>
    <w:p>
      <w:pPr>
        <w:spacing w:after="0" w:line="32"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 (510) 505-2680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43180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3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40" w:type="dxa"/>
            <w:vAlign w:val="bottom"/>
          </w:tcPr>
          <w:p>
            <w:pPr>
              <w:spacing w:after="0"/>
              <w:rPr>
                <w:sz w:val="14"/>
                <w:szCs w:val="14"/>
                <w:color w:val="auto"/>
              </w:rPr>
            </w:pPr>
          </w:p>
        </w:tc>
      </w:tr>
      <w:tr>
        <w:trPr>
          <w:trHeight w:val="214"/>
        </w:trPr>
        <w:tc>
          <w:tcPr>
            <w:tcW w:w="43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380" w:type="dxa"/>
            <w:vAlign w:val="bottom"/>
          </w:tcPr>
          <w:p>
            <w:pPr>
              <w:ind w:left="20"/>
              <w:spacing w:after="0"/>
              <w:rPr>
                <w:sz w:val="20"/>
                <w:szCs w:val="20"/>
                <w:color w:val="auto"/>
              </w:rPr>
            </w:pPr>
            <w:r>
              <w:rPr>
                <w:rFonts w:ascii="Arial" w:cs="Arial" w:eastAsia="Arial" w:hAnsi="Arial"/>
                <w:sz w:val="14"/>
                <w:szCs w:val="14"/>
                <w:color w:val="auto"/>
              </w:rPr>
              <w:t>Common Stock, par value $0.0001 per share</w:t>
            </w:r>
          </w:p>
        </w:tc>
        <w:tc>
          <w:tcPr>
            <w:tcW w:w="12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rPr>
              <w:t>FDMT</w:t>
            </w:r>
          </w:p>
        </w:tc>
        <w:tc>
          <w:tcPr>
            <w:tcW w:w="100" w:type="dxa"/>
            <w:vAlign w:val="bottom"/>
          </w:tcPr>
          <w:p>
            <w:pPr>
              <w:spacing w:after="0"/>
              <w:rPr>
                <w:sz w:val="15"/>
                <w:szCs w:val="15"/>
                <w:color w:val="auto"/>
              </w:rPr>
            </w:pPr>
          </w:p>
        </w:tc>
        <w:tc>
          <w:tcPr>
            <w:tcW w:w="4340" w:type="dxa"/>
            <w:vAlign w:val="bottom"/>
          </w:tcPr>
          <w:p>
            <w:pPr>
              <w:jc w:val="center"/>
              <w:spacing w:after="0"/>
              <w:rPr>
                <w:sz w:val="20"/>
                <w:szCs w:val="20"/>
                <w:color w:val="auto"/>
              </w:rPr>
            </w:pPr>
            <w:r>
              <w:rPr>
                <w:rFonts w:ascii="Arial" w:cs="Arial" w:eastAsia="Arial" w:hAnsi="Arial"/>
                <w:sz w:val="14"/>
                <w:szCs w:val="14"/>
                <w:color w:val="auto"/>
              </w:rPr>
              <w:t>The Nasdaq Global Select Market</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9" w:lineRule="exact"/>
        <w:rPr>
          <w:sz w:val="24"/>
          <w:szCs w:val="24"/>
          <w:color w:val="auto"/>
        </w:rPr>
      </w:pPr>
    </w:p>
    <w:p>
      <w:pPr>
        <w:ind w:right="2960"/>
        <w:spacing w:after="0" w:line="211"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8" w:lineRule="exact"/>
        <w:rPr>
          <w:sz w:val="24"/>
          <w:szCs w:val="24"/>
          <w:color w:val="auto"/>
        </w:rPr>
      </w:pPr>
    </w:p>
    <w:p>
      <w:pPr>
        <w:ind w:right="80"/>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20"/>
        <w:spacing w:after="0" w:line="17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418"/>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ind w:left="308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0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418"/>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60" w:type="dxa"/>
            <w:vAlign w:val="bottom"/>
          </w:tcPr>
          <w:p>
            <w:pPr>
              <w:ind w:left="3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41" w:lineRule="exact"/>
        <w:rPr>
          <w:sz w:val="24"/>
          <w:szCs w:val="24"/>
          <w:color w:val="auto"/>
        </w:rPr>
      </w:pPr>
    </w:p>
    <w:p>
      <w:pPr>
        <w:ind w:right="32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420"/>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620"/>
        <w:spacing w:after="0" w:line="16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ind w:right="480"/>
        <w:spacing w:after="0" w:line="175" w:lineRule="exact"/>
        <w:rPr>
          <w:sz w:val="20"/>
          <w:szCs w:val="20"/>
          <w:color w:val="auto"/>
        </w:rPr>
      </w:pPr>
      <w:r>
        <w:rPr>
          <w:rFonts w:ascii="Arial" w:cs="Arial" w:eastAsia="Arial" w:hAnsi="Arial"/>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Arial" w:cs="Arial" w:eastAsia="Arial" w:hAnsi="Arial"/>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ind w:right="260"/>
        <w:spacing w:after="0" w:line="257"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Select Market on June 30, 2022 was $147,032,164.</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8, 2023 was 33,234,357.</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41" w:lineRule="exact"/>
        <w:rPr>
          <w:sz w:val="24"/>
          <w:szCs w:val="24"/>
          <w:color w:val="auto"/>
        </w:rPr>
      </w:pPr>
    </w:p>
    <w:p>
      <w:pPr>
        <w:jc w:val="both"/>
        <w:ind w:right="160"/>
        <w:spacing w:after="0" w:line="249" w:lineRule="auto"/>
        <w:rPr>
          <w:sz w:val="20"/>
          <w:szCs w:val="20"/>
          <w:color w:val="auto"/>
        </w:rPr>
      </w:pPr>
      <w:r>
        <w:rPr>
          <w:rFonts w:ascii="Arial" w:cs="Arial" w:eastAsia="Arial" w:hAnsi="Arial"/>
          <w:sz w:val="14"/>
          <w:szCs w:val="14"/>
          <w:color w:val="auto"/>
        </w:rPr>
        <w:t>Portions of the registrant’s definitive Proxy Statement relating to the 2022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80" w:type="dxa"/>
            <w:vAlign w:val="bottom"/>
            <w:gridSpan w:val="10"/>
          </w:tcPr>
          <w:p>
            <w:pPr>
              <w:ind w:left="42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2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8"/>
        </w:trPr>
        <w:tc>
          <w:tcPr>
            <w:tcW w:w="12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20"/>
              <w:spacing w:after="0" w:line="176" w:lineRule="exact"/>
              <w:rPr>
                <w:sz w:val="20"/>
                <w:szCs w:val="20"/>
                <w:color w:val="auto"/>
              </w:rPr>
            </w:pPr>
            <w:r>
              <w:rPr>
                <w:rFonts w:ascii="Arial" w:cs="Arial" w:eastAsia="Arial" w:hAnsi="Arial"/>
                <w:sz w:val="18"/>
                <w:szCs w:val="18"/>
                <w:color w:val="auto"/>
              </w:rPr>
              <w:t>Item 1.</w:t>
            </w:r>
          </w:p>
        </w:tc>
        <w:tc>
          <w:tcPr>
            <w:tcW w:w="9160" w:type="dxa"/>
            <w:vAlign w:val="bottom"/>
            <w:gridSpan w:val="22"/>
          </w:tcPr>
          <w:p>
            <w:pPr>
              <w:spacing w:after="0" w:line="176" w:lineRule="exact"/>
              <w:rPr>
                <w:sz w:val="20"/>
                <w:szCs w:val="20"/>
                <w:color w:val="auto"/>
              </w:rPr>
            </w:pPr>
            <w:r>
              <w:rPr>
                <w:rFonts w:ascii="Arial" w:cs="Arial" w:eastAsia="Arial" w:hAnsi="Arial"/>
                <w:sz w:val="18"/>
                <w:szCs w:val="18"/>
                <w:color w:val="0000FF"/>
              </w:rPr>
              <w:t>Business</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1B.</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Unresolved Staff Comments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2.</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Properties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3.</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4.</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5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20"/>
              <w:spacing w:after="0" w:line="176" w:lineRule="exact"/>
              <w:rPr>
                <w:sz w:val="20"/>
                <w:szCs w:val="20"/>
                <w:color w:val="auto"/>
              </w:rPr>
            </w:pPr>
            <w:r>
              <w:rPr>
                <w:rFonts w:ascii="Arial" w:cs="Arial" w:eastAsia="Arial" w:hAnsi="Arial"/>
                <w:sz w:val="18"/>
                <w:szCs w:val="18"/>
                <w:color w:val="auto"/>
              </w:rPr>
              <w:t>Item 5.</w:t>
            </w:r>
          </w:p>
        </w:tc>
        <w:tc>
          <w:tcPr>
            <w:tcW w:w="9160" w:type="dxa"/>
            <w:vAlign w:val="bottom"/>
            <w:gridSpan w:val="22"/>
          </w:tcPr>
          <w:p>
            <w:pPr>
              <w:spacing w:after="0" w:line="176"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6.</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[Reserved]</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7.</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7A.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8.</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9.</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9A.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9B.</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40"/>
              <w:spacing w:after="0" w:line="195" w:lineRule="exact"/>
              <w:rPr>
                <w:sz w:val="20"/>
                <w:szCs w:val="20"/>
                <w:color w:val="auto"/>
              </w:rPr>
            </w:pPr>
            <w:r>
              <w:rPr>
                <w:rFonts w:ascii="Arial" w:cs="Arial" w:eastAsia="Arial" w:hAnsi="Arial"/>
                <w:sz w:val="18"/>
                <w:szCs w:val="18"/>
                <w:color w:val="auto"/>
              </w:rPr>
              <w:t>Item 9C.</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45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20"/>
              <w:spacing w:after="0" w:line="176" w:lineRule="exact"/>
              <w:rPr>
                <w:sz w:val="20"/>
                <w:szCs w:val="20"/>
                <w:color w:val="auto"/>
              </w:rPr>
            </w:pPr>
            <w:r>
              <w:rPr>
                <w:rFonts w:ascii="Arial" w:cs="Arial" w:eastAsia="Arial" w:hAnsi="Arial"/>
                <w:sz w:val="18"/>
                <w:szCs w:val="18"/>
                <w:color w:val="auto"/>
              </w:rPr>
              <w:t>Item 10.</w:t>
            </w:r>
          </w:p>
        </w:tc>
        <w:tc>
          <w:tcPr>
            <w:tcW w:w="9160" w:type="dxa"/>
            <w:vAlign w:val="bottom"/>
            <w:gridSpan w:val="22"/>
          </w:tcPr>
          <w:p>
            <w:pPr>
              <w:spacing w:after="0" w:line="176" w:lineRule="exact"/>
              <w:rPr>
                <w:sz w:val="20"/>
                <w:szCs w:val="20"/>
                <w:color w:val="auto"/>
              </w:rPr>
            </w:pPr>
            <w:r>
              <w:rPr>
                <w:rFonts w:ascii="Arial" w:cs="Arial" w:eastAsia="Arial" w:hAnsi="Arial"/>
                <w:sz w:val="18"/>
                <w:szCs w:val="18"/>
                <w:color w:val="0000FF"/>
              </w:rPr>
              <w:t>Directors, Executive Officers and Corporate Governance</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11.</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Executive Compensation</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12.</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13.</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14.</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51"/>
        </w:trPr>
        <w:tc>
          <w:tcPr>
            <w:tcW w:w="12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60" w:type="dxa"/>
            <w:vAlign w:val="bottom"/>
          </w:tcPr>
          <w:p>
            <w:pPr>
              <w:ind w:left="120"/>
              <w:spacing w:after="0" w:line="176" w:lineRule="exact"/>
              <w:rPr>
                <w:sz w:val="20"/>
                <w:szCs w:val="20"/>
                <w:color w:val="auto"/>
              </w:rPr>
            </w:pPr>
            <w:r>
              <w:rPr>
                <w:rFonts w:ascii="Arial" w:cs="Arial" w:eastAsia="Arial" w:hAnsi="Arial"/>
                <w:sz w:val="18"/>
                <w:szCs w:val="18"/>
                <w:color w:val="auto"/>
              </w:rPr>
              <w:t>Item 15.</w:t>
            </w:r>
          </w:p>
        </w:tc>
        <w:tc>
          <w:tcPr>
            <w:tcW w:w="9160" w:type="dxa"/>
            <w:vAlign w:val="bottom"/>
            <w:gridSpan w:val="22"/>
          </w:tcPr>
          <w:p>
            <w:pPr>
              <w:spacing w:after="0" w:line="176" w:lineRule="exact"/>
              <w:rPr>
                <w:sz w:val="20"/>
                <w:szCs w:val="20"/>
                <w:color w:val="auto"/>
              </w:rPr>
            </w:pPr>
            <w:r>
              <w:rPr>
                <w:rFonts w:ascii="Arial" w:cs="Arial" w:eastAsia="Arial" w:hAnsi="Arial"/>
                <w:sz w:val="18"/>
                <w:szCs w:val="18"/>
                <w:color w:val="0000FF"/>
              </w:rPr>
              <w:t>Exhibits, Financial Statement Schedules</w:t>
            </w: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ind w:left="120"/>
              <w:spacing w:after="0" w:line="195" w:lineRule="exact"/>
              <w:rPr>
                <w:sz w:val="20"/>
                <w:szCs w:val="20"/>
                <w:color w:val="auto"/>
              </w:rPr>
            </w:pPr>
            <w:r>
              <w:rPr>
                <w:rFonts w:ascii="Arial" w:cs="Arial" w:eastAsia="Arial" w:hAnsi="Arial"/>
                <w:sz w:val="18"/>
                <w:szCs w:val="18"/>
                <w:color w:val="auto"/>
              </w:rPr>
              <w:t>Item 16</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Form 10-K Summary</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2"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3"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99" w:lineRule="exact"/>
        <w:rPr>
          <w:sz w:val="20"/>
          <w:szCs w:val="20"/>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and clinical trials, including our clinical trials for 4D-150, 4D-710, 4D-310, 4D-125 and 4D-110;</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Investigational New Drug Application (“IND”) enabling studies and results from such studies;</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lead optimization for our product candidates in lead optimization;</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into future clinical trials in humans;</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any manufacturing runs for materials to be used in patient trials;</w:t>
      </w:r>
    </w:p>
    <w:p>
      <w:pPr>
        <w:spacing w:after="0" w:line="116"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our planned clinical trials, and what regulatory authorities may require to obtain marketing approval;</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preclinical and clinical programs and business;</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6"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6"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6" w:lineRule="exact"/>
        <w:rPr>
          <w:rFonts w:ascii="Arial" w:cs="Arial" w:eastAsia="Arial" w:hAnsi="Arial"/>
          <w:sz w:val="18"/>
          <w:szCs w:val="18"/>
          <w:color w:val="auto"/>
        </w:rPr>
      </w:pPr>
    </w:p>
    <w:p>
      <w:pPr>
        <w:ind w:left="900" w:right="2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6"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including our relationships with uniQure and Cystic Fibrosis Foundation (“CFF”), and our ability to attract collaborators with development, regulatory and commercialization expertise;</w:t>
      </w:r>
    </w:p>
    <w:p>
      <w:pPr>
        <w:spacing w:after="0" w:line="89" w:lineRule="exact"/>
        <w:rPr>
          <w:rFonts w:ascii="Arial" w:cs="Arial" w:eastAsia="Arial" w:hAnsi="Arial"/>
          <w:sz w:val="18"/>
          <w:szCs w:val="18"/>
          <w:color w:val="auto"/>
        </w:rPr>
      </w:pPr>
    </w:p>
    <w:p>
      <w:pPr>
        <w:ind w:left="900" w:hanging="263"/>
        <w:spacing w:after="0" w:line="24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89" w:lineRule="exact"/>
        <w:rPr>
          <w:rFonts w:ascii="Arial" w:cs="Arial" w:eastAsia="Arial" w:hAnsi="Arial"/>
          <w:sz w:val="18"/>
          <w:szCs w:val="18"/>
          <w:color w:val="auto"/>
        </w:rPr>
      </w:pPr>
    </w:p>
    <w:p>
      <w:pPr>
        <w:ind w:left="900" w:hanging="26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3" w:name="page4"/>
    <w:bookmarkEnd w:id="3"/>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capital requirements and needs for additional financing;</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6" w:lineRule="exact"/>
        <w:rPr>
          <w:rFonts w:ascii="Arial" w:cs="Arial" w:eastAsia="Arial" w:hAnsi="Arial"/>
          <w:sz w:val="18"/>
          <w:szCs w:val="18"/>
          <w:color w:val="auto"/>
        </w:rPr>
      </w:pPr>
    </w:p>
    <w:p>
      <w:pPr>
        <w:ind w:left="900" w:hanging="263"/>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225" w:lineRule="exact"/>
        <w:rPr>
          <w:sz w:val="20"/>
          <w:szCs w:val="20"/>
          <w:color w:val="auto"/>
        </w:rPr>
      </w:pPr>
    </w:p>
    <w:p>
      <w:pPr>
        <w:jc w:val="both"/>
        <w:ind w:firstLine="635"/>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the section titled “Risk Factors” and elsewhere in this Annual Report on Form 10-K. Potential investors are urged to consider these factors carefully in evaluating the forward-looking statements.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a clinical-stage biotherapeutics company harnessing the power of directed evolution for targeted genetic medicines. We seek to unlock the full potential of genetic medicines using our platform, Therapeutic Vector Evolution, which combines the power of directed evolution with our approximately one billion synthetic AAV capsid-derived sequences to invent evolved vectors for use in our products. We believe key features of our targeted and evolved vectors will help us to potentially create targeted genetic medicine product candidates with improved therapeutic profiles. These profiles will allow us to treat a broad range of large market diseases, unlike most current genetic medicines that generally focus on rare or small market diseases.</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built a deep portfolio of genetic medicine product candidates, with five product candidates in clinical trials: 4D-150 for the treatment of wet age-related macular degeneration (“wet AMD”) and diabetic macular edema (“DME”), 4D-710 for the treatment of cystic fibrosis lung disease (both in modulator ineligible and eligible populations), 4D-310 for the treatment of Fabry disease cardiomyopathy, 4D-125 for the treatment of X-linked retinitis pigmentosa (“XLRP”), and 4D-110 for the treatment of choroideremia. In addition, we have two product candidates in preclinical development: 4D-175 for geographic atrophy (“GA”) and 4D-725 for alpha-1 antitrypsin deficiency lung disease.</w:t>
      </w:r>
    </w:p>
    <w:p>
      <w:pPr>
        <w:spacing w:after="0" w:line="20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To-date, we have demonstrated clinical proof-of-concept for three proprietary and evolved vectors in three therapeutic areas, each with a different route of administration, with five products and patient populations. We believe this validates the power of our directed evolution platform for inventing superior and customized vectors compared to wildtype conventional viral vectors.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built a robust and efficient product design and development engine with 6 open Investigational New Drug Applications (INDs) in the U.S., 1 IND in Taiwan, and 1 Clinical Trial Approval (CTA) in Australia. We believe we are positioned to invent, develop, manufacture and, if approved, effectively commercialize targeted genetic medicines with the potential to transform the lives of patients suffering from debilitating diseases. Our business, research, development and manufacturing organizations and capabilities are fully integrated on the same campus in Emeryville, California.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developing a diverse pipeline of product candidates for both large market and rare diseases, including patient populations that other genetic medicines are unable to address. Our initial product candidates are focused on the following therapeutic areas: ophthalmology, pulmonology and cardiology. Each of our product candidates leverages a targeted and evolved vector we invented through our Therapeutic Vector Evolution platform. Our strategy has been to build a diversified product pipeline to maximize our probability of technical success, while leveraging the modularity of our vectors to create therapeutic area product portfolios efficiently from a single vector. Below is a summary of our wholly-owned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129540</wp:posOffset>
            </wp:positionV>
            <wp:extent cx="5342890" cy="2406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289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 Therapeutic Area: Intravitreal Product Candidates</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ophthalmology products treat diseases that affect the retina. Our retina product candidates, 4D-150, 4D-175, 4D-125, and 4D-110 utilize our targeted and evolved AAV vector, R100, which was invented for routine intravitreal injection to express transgene payloads across the entire surface area of the retina and in the major cell layers of the retina. Product candidates for large market ophthalmology indications such as wet AMD, diabetic macular edema, and geographic atrophy have the potential to be major value drivers for 4DMT.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Therapeutic Area: Aerosol Delivery Product Candidates</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pulmonology products treat diseases that affect the lung airway cells. Our pulmonology product candidates, 4D-710 and 4D-725, utilize our customized and evolved vector, A101, which was invented for aerosol delivery to all major regions within the lung, including airways and alveoli, and penetration of the mucus barrier for transduction of lung airway cells, overcoming potential barriers such as pre-existing AAV antibodies and other inhibitory proteins within the mucus barrier. A101 was invented to enable efficient airway and alveolar cell transduction and transgene expression.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 Therapeutic Area: Intravenous Product Candidates</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cardiology products treat diseases that affect heart muscle cells (i.e., cardiomyocytes). Our cardiology product candidate, 4D-310, utilizes our customized and evolved AAV vector, C102, which was invented for routine low dose intravenous administration and delivery to the heart, leading to transgene expression in heart muscle cells throughout the organ. For diseases involving the heart and other organs, including Fabry disease, our product candidates have the potential to be designed for transgene expression both within the heart and in other targeted tissues.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4DMT Therapeutic Vector Evolution Platform: One Billion Synthetic Capsid Sequences for Targeted Genetic Medicines</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Genetic medicines hold tremendous promise as a transformative therapeutic class. However, the majority of genetic medicines have encountered limitations such as inflammation and toxicity, high dose requirements, limited efficacy, and neutralization by pre-existing antibodies, due in part to their utilization of conventional AAV vectors that are naturally occurring and non-targeted. Through our Therapeutic Vector Evolution Platform, we apply the principles of directed evolution to invent targeted and evolved vectors for the delivery of genes to specific tissue types to treat diseases involving those same target tissue(s). Our product candidates are designed and engineered to utilize our targeted and evolved vectors to potentially address the limitations encountered with genetic medicines utilizing conventional AAV vectors.</w:t>
      </w:r>
    </w:p>
    <w:p>
      <w:pPr>
        <w:spacing w:after="0" w:line="20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first step of directed evolution involves the generation of a massively diverse library of biological variants. Leveraging a wide range of molecular biology techniques, we have developed a collection of highly diverse and distinct libraries that are comprised of approximately one billion synthetic capsid sequences. We next define a Target Vector Profile that identifies the optimal vector features for the specific tissue type(s) and related set of diseases we seek to target, with the goal of overcoming limitations encountered by conventional AAVs. We then deploy Therapeutic Vector Evolution with our capsid libraries in non-human primates (“NHPs”) and use competitive selection to identify targeted and evolved vectors from our libraries that demonstrate the strongest match to the Target Vector Profile. Subsequently, we characterize and evaluate a lead targeted and evolved vector for delivery and transgene expression through extensive studies in NHPs and human cell and organotypic tissue assays.</w:t>
      </w:r>
    </w:p>
    <w:p>
      <w:pPr>
        <w:spacing w:after="0" w:line="206"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our proprietary vectors will allow us to overcome known limitations of conventional AAV vectors, and to potentially address a broad range of diseases that affect both large and rare patient populations that cannot be addressed with conventional vectors.</w:t>
      </w:r>
    </w:p>
    <w:p>
      <w:pPr>
        <w:spacing w:after="0" w:line="19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proprietary Therapeutic Vector Evolution Platform is based on the principles of directed evolution. Directed evolution is a high-throughput platform approach that harnesses the power of evolution in order to create biologics with new and desirable characteristics.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 w:name="page8"/>
    <w:bookmarkEnd w:id="7"/>
    <w:p>
      <w:pPr>
        <w:jc w:val="center"/>
        <w:spacing w:after="0" w:line="242" w:lineRule="auto"/>
        <w:rPr>
          <w:sz w:val="20"/>
          <w:szCs w:val="20"/>
          <w:color w:val="auto"/>
        </w:rPr>
      </w:pPr>
      <w:r>
        <w:rPr>
          <w:rFonts w:ascii="Arial" w:cs="Arial" w:eastAsia="Arial" w:hAnsi="Arial"/>
          <w:sz w:val="18"/>
          <w:szCs w:val="18"/>
          <w:i w:val="1"/>
          <w:iCs w:val="1"/>
          <w:color w:val="auto"/>
        </w:rPr>
        <w:t>The first step in directed evolution is to generate massive genetic diversity. Starting with the genomes of multiple proprietary AAV variant capsids, naturally occurring AAV variant capsids, and their ancestral predecessors, we employ numerous diverse molecular biology techniques to create our proprietary libraries comprising approximately one billion synthetic AAV capsid sequences. These synthetic capsid gene sequences are then used to manufacture a massive library of protein capsids, each of which contains its own genetic sequence. This “barcoding” allows us to track and quantify the biodistribution of vectors in primates over multiple rounds of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145415</wp:posOffset>
            </wp:positionV>
            <wp:extent cx="5342890" cy="2371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289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Starting with our distinct libraries comprising approximately one billion synthetic capsid sequences, we conduct Therapeutic Vector Evolution,</w:t>
      </w:r>
    </w:p>
    <w:p>
      <w:pPr>
        <w:spacing w:after="0" w:line="25" w:lineRule="exact"/>
        <w:rPr>
          <w:sz w:val="20"/>
          <w:szCs w:val="20"/>
          <w:color w:val="auto"/>
        </w:rPr>
      </w:pPr>
    </w:p>
    <w:p>
      <w:pPr>
        <w:jc w:val="center"/>
        <w:spacing w:after="0" w:line="238" w:lineRule="auto"/>
        <w:rPr>
          <w:sz w:val="20"/>
          <w:szCs w:val="20"/>
          <w:color w:val="auto"/>
        </w:rPr>
      </w:pPr>
      <w:r>
        <w:rPr>
          <w:rFonts w:ascii="Arial" w:cs="Arial" w:eastAsia="Arial" w:hAnsi="Arial"/>
          <w:sz w:val="18"/>
          <w:szCs w:val="18"/>
          <w:i w:val="1"/>
          <w:iCs w:val="1"/>
          <w:color w:val="auto"/>
        </w:rPr>
        <w:t>including competitive selection in primates, to identify customized and evolved vectors that fit our desired Target Vector Profile for any disease or set of diseases we want to treat. The illustration below highlights the Target Vector Profile design and subsequent selection process whereby competitive pressure is applied over a varying number of selection rounds for each program. Capsids with the best fitness for the Target Vector Profile are enriched within each round and are designated lead vectors.</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1090295</wp:posOffset>
            </wp:positionH>
            <wp:positionV relativeFrom="page">
              <wp:posOffset>379730</wp:posOffset>
            </wp:positionV>
            <wp:extent cx="5342890" cy="2705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705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Since the company’s founding in 2013, we have developed and industrialized our Therapeutic Vector Evolution Platform to invent customized and evolved vectors for use in human therapeutic products. In addition, we have developed significant experience in performing Therapeutic Vector Evolution programs in NHPs, with over 15 capsid selections completed to date. We have patent applications and issued patents covering hundreds of proprietary, unique AAV capsid vectors. We believe these proprietary customized vectors will give us significant competitive advantages to develop product candidates for a broad range of large market and rare disease patient populations, including those other genetic medicines cannot address.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Diverse Sub-Libraries of Synthetic Capsid Sequences</w:t>
      </w:r>
    </w:p>
    <w:p>
      <w:pPr>
        <w:spacing w:after="0" w:line="22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Each sub-library results from the application of a different genetic diversification methodology, such as variable loop mutagenesis, random peptide insertion, random point mutagenesis, DNA shuffling, and ancestral reconstruction, and is also defined by its starting material (AAV capsid gene sequences). We also apply bioinformatics, emerging technologies, experience and know-how resulting from previous discovery programs to continually improve and expand our libraries and improve our ability to invent customized and evolved vectors.</w:t>
      </w:r>
    </w:p>
    <w:p>
      <w:pPr>
        <w:spacing w:after="0" w:line="20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the size and diversity of our proprietary synthetic capsid libraries represent a differentiating competitive advantage for us in the field of genetic medicines.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The Target Vector Profile Followed by Competitive Vector Selection</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employ a rigorous approach to inventing customized and evolved vectors based on what we consider an optimal vector and product profile, which we term the Target Vector Profile, for any disease or set of diseases affecting the same tissue(s). The Target Vector Profile includes any combination of the following: the target cell(s), the desired distribution of vector transduction within the target organ(s), the optimal route of administration for targeting the specific tissue(s), the optimal dose range, overall biodistribution, and resistance to human pooled antibodies.</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 xml:space="preserve">We use our Therapeutic Vector Evolution Platform to select the “fittest” customized and evolved capsid that best matches our Target Vector Profile. We achieve this through serial rounds of “selection,” or discovery,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primates with each round of selection funneling down to fewer and fewer remaining synthetic capsids from the original library. This funneling process is achieved by applying selective pressures—forcing competition—among all synthetic capsid variants in the library to achieve delivery to the target cells as defined in the Target Vector Profile. Each round is performed in a primate </w:t>
      </w:r>
      <w:r>
        <w:rPr>
          <w:rFonts w:ascii="Arial" w:cs="Arial" w:eastAsia="Arial" w:hAnsi="Arial"/>
          <w:sz w:val="18"/>
          <w:szCs w:val="18"/>
          <w:i w:val="1"/>
          <w:iCs w:val="1"/>
          <w:color w:val="auto"/>
        </w:rPr>
        <w:t>in vivo</w:t>
      </w:r>
      <w:r>
        <w:rPr>
          <w:rFonts w:ascii="Arial" w:cs="Arial" w:eastAsia="Arial" w:hAnsi="Arial"/>
          <w:sz w:val="18"/>
          <w:szCs w:val="18"/>
          <w:color w:val="auto"/>
        </w:rPr>
        <w:t>, sometimes in the presence of human antibodies.</w:t>
      </w:r>
    </w:p>
    <w:p>
      <w:pPr>
        <w:spacing w:after="0" w:line="187" w:lineRule="exact"/>
        <w:rPr>
          <w:sz w:val="20"/>
          <w:szCs w:val="20"/>
          <w:color w:val="auto"/>
        </w:rPr>
      </w:pPr>
    </w:p>
    <w:p>
      <w:pPr>
        <w:jc w:val="both"/>
        <w:ind w:firstLine="644"/>
        <w:spacing w:after="0" w:line="266" w:lineRule="auto"/>
        <w:rPr>
          <w:sz w:val="20"/>
          <w:szCs w:val="20"/>
          <w:color w:val="auto"/>
        </w:rPr>
      </w:pPr>
      <w:r>
        <w:rPr>
          <w:rFonts w:ascii="Arial" w:cs="Arial" w:eastAsia="Arial" w:hAnsi="Arial"/>
          <w:sz w:val="18"/>
          <w:szCs w:val="18"/>
          <w:color w:val="auto"/>
        </w:rPr>
        <w:t xml:space="preserve">We believe this deliberate approach to selection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primates and in human tissues should lead to identification of customized and evolved vectors with a higher likelihood of therapeutic benefit in humans.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Vector Invention Results to Date</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completed unique vector selection programs or “selection processes” for specific proprietary synthetic capsids with specific Target Vector Profiles. Across our clinical development and discovery portfolio, we have utilized four different routes of administration: intravitreal, aerosol, intravenous, and intrathecal. We have completed discovery programs targeting a diverse array of tissue types including various retinal cell types, heart and skeletal muscle tissues, different lung cell types, liver, brain, dorsal root ganglia, and synovial joints, resulting in hundreds of unique and proprietary customized and evolved vectors.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Characterization of Novel Vector Variant “Hits” and “Leads”</w:t>
      </w:r>
    </w:p>
    <w:p>
      <w:pPr>
        <w:spacing w:after="0" w:line="229"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Vector hits are typically characterized by three major criteria: manufacturability, human cell and human organotypic model transduction, and delivery to tissues in NHPs by the designated route of administration. Vector hits may also be evaluated for transduction in the presence of pooled human antibodies. In order to perform characterization studies, vectors are armed with marker transgene payloads such as enhanced green fluorescent protein (“EGFP”). A lead vector is selected after evaluation of these hits.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Promoter and Transgene Design and Discovery Platforms</w:t>
      </w:r>
    </w:p>
    <w:p>
      <w:pPr>
        <w:spacing w:after="0" w:line="229"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To complement our Therapeutic Vector Evolution Platform and modular development approach, we are generating next-generation optimized promoter elements and transgenes using a combination of directed evolution and proprietary algorithms.</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Currently available promoters may lack sufficient strength of expression and/or selectivity for use in our AAV genetic medicines. In addition, for some AAV genetic medicine products, a smaller promoter region may be essential for the gene payload to fit in the AAV. Therefore, we believe there is a need for better promoters for many AAV products to enable or enhance their therapeutic benefit. We generate Target Promoter Profiles for any given product and disease target. This promoter profile includes target cell specificity and strength in order to maximize tolerability and/or biologic activity, as well as to account for any necessary size constraints. Our libraries of novel and diverse synthetic promoters have been engineered and currently comprise approximately ten million unique sequences. Our discovery platform identifies the best promoters within the libraries for a specific Target Promoter Profile.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0" w:name="page11"/>
    <w:bookmarkEnd w:id="10"/>
    <w:p>
      <w:pPr>
        <w:jc w:val="both"/>
        <w:ind w:firstLine="644"/>
        <w:spacing w:after="0" w:line="236" w:lineRule="auto"/>
        <w:rPr>
          <w:sz w:val="20"/>
          <w:szCs w:val="20"/>
          <w:color w:val="auto"/>
        </w:rPr>
      </w:pPr>
      <w:r>
        <w:rPr>
          <w:rFonts w:ascii="Arial" w:cs="Arial" w:eastAsia="Arial" w:hAnsi="Arial"/>
          <w:sz w:val="18"/>
          <w:szCs w:val="18"/>
          <w:color w:val="auto"/>
        </w:rPr>
        <w:t>In addition to our synthetic promoters, we are developing next-generation optimized transgenes. Our discovery platform uses a high-throughput approach, harnessing both directed evolution and rational design algorithms, to identify novel transgenes that express therapeutic proteins. For example, we have developed transgenes to express RNAi in target cells of interest for treatment of disease. These transgene-expressed RNAi molecules, or ddRNAi, are anchored by a microRNA backbone that not only enhances stability and limits off-target effects, but also has the potential to facilitate high expression within target cells and efficacy. Our technology allows us to knock down disease-causing transcripts, thus enabling a high degree of selectivity with the goal of long-term expression via an AAV-based genetic medicine (e.g., VEGF-C RNAi as expressed in 4D-150).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148590</wp:posOffset>
            </wp:positionV>
            <wp:extent cx="5342890" cy="2406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2890"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 Therapeutic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developing product candidates to treat severe ophthalmologic diseases. Our customized and evolved vector, R100, is used in all three of our clinical stage and one preclinical stage ophthalmology product candidates. R100 was invented for routine intravitreal injection to express transgene payloads across the entire surface area of the retina, and in the major cell layers of the retina. We believe leveraging the ability to use the same novel vector in multiple product candidates will increase product development efficiencies, decrease development risks and inform the clinical development of subsequent product candidates using the same vector.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Large Market Ophthalmology Portfolio</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4D-150 for Wet AMD and Diabetic Macular Edema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Wet AMD is a highly prevalent disease with an estimated incidence rate of 200,000 new patients per year in the United States, according to published data. Wet AMD is a type of macular degeneration where abnormal blood vessels (choroidal neovascularization or CNV) grow into the macula, the central area of the retina. As a consequence, CNV causes swelling and edema of the retina, bleeding and scarring, which can result in visual distortion and reduced acuity. The proliferation and leakage of abnormal blood vessels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is stimulated by VEGF. This process distorts and can potentially destroy central vision and may progress to blindness without treatment.</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Diabetes mellitus affects approximately 400 million adults worldwide and the prevalence is expected to increase by approximately 45% in the next decade. Diabetic eye disease is a leading cause of vision loss and blindness in working-age adults and occurs due to the development of diabetic macular edema (“DME”; swelling and edema in the central retina). DME is a highly prevalent disease with significant unmet medical need. It is estimated that there are approximately one million individuals with DME in the United States according to published data. DME is characterized by swelling in the macula due to leakage from blood vessels. This can lead to blurred vision.</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current treatment paradigm for wet AMD and DME is intravitreal injection of patients with anti-VEGF proteins that inhibit blood vessel leakage and proliferation of new blood vessels, reducing edema and bleeding risk, and allowing in many instances some visual acuity to be recovered. Most anti-VEGF therapies require repeated and burdensome intravitreal injections in the office every few weeks to every few months to obtain full efficacy. When patients miss doses, they may experience vision decline due to undertreatment. Based on current clinical experience, after several years of treatment, the early vision gains are frequently lost, and visual acuity declines may result at least in part from poor patient compliance and undertreatment.</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believe these major retinal diseases are ideal candidate applications for genetic medicines. There are multiple products on the market that validate the anti-VEGF therapeutic approach, and emerging randomized clinical trial data suggest that inhibiting additional molecular targets can extend the efficacy and durability of anti-VEGF alone. Delivering intravitreal therapies to the eye is routine, and there is an advantage for a single dose genetic medicine that can provide long-term efficacy in patients for whom compliance, or treatment resistance, is a problem.</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2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4D-150 is a dual-transgene, intravitreal genetic medicine, designed to inhibit four distinct angiogenic factors to prevent angiogenesis and reduce vascular permeability, for the treatment of angiogenic diseases of the retina. These angiogenic diseases of the retina, including wet AMD and DME, represent therapeutic markets of over $12.3 billion in annual global sales.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4D-150is engineered for efficient intravitreal delivery to the retina of a payload expressing two transgenes. Sustained expression of 4D-150 transgenes in the retina has the potential to reduce the treatment burden of repeated visits for anti-VEGF injections required to maintain optimal visual outcomes. 4D-150 may also lead to better long term visual outcomes than therapies that target fewer angiogenic factors and reduce undertreatment resulting from the challenges of complying with a regimen of frequent visits to receive injections. Intravitreal delivery of biologics to the eye is routine, and a single dose intravitreal genetic medicine that could provide long-term efficacy in patients would be an advantage for patients who struggle with compliance and treatment burden.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Genetic Medicines for wet AMD and DME</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 xml:space="preserve">AAV genetic medicine approaches are being developed by several companies to treat wet AMD by delivering a functional copy of an anti-angiogenic transgene by either subretinal surgical delivery or suprachoroidal injection with a conventional AAV vector, or intravitreal administration with a mouse-evolved vector. It remains to be demonstrated whether conventional AAVs or mouse-evolved vectors can deliver significant retinal coverage while limiting toxicities. In comparison, our customized and evolved vectors are invented and tested in primates whose eyes more closely resemble the anatomy of the human eye than do mouse eyes. We believe that our R100 vector-based products provide comprehensive retinal coverage through less invasive and more commonly used intravitreal injections, while delivering an improved tolerability profile with limited inflammation. To our knowledge, 4D-150 is the only clinical stage AAV genetic medicine in wet AMD and DME to utilize an intravitreal vector (such as R100) discovered through directed evolution in primates. In addition,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of R100 versus AAV2 have shown superior transduction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2" w:name="page13"/>
    <w:bookmarkEnd w:id="12"/>
    <w:p>
      <w:pPr>
        <w:jc w:val="both"/>
        <w:spacing w:after="0"/>
        <w:rPr>
          <w:sz w:val="20"/>
          <w:szCs w:val="20"/>
          <w:color w:val="auto"/>
        </w:rPr>
      </w:pPr>
      <w:r>
        <w:rPr>
          <w:rFonts w:ascii="Arial" w:cs="Arial" w:eastAsia="Arial" w:hAnsi="Arial"/>
          <w:sz w:val="18"/>
          <w:szCs w:val="18"/>
          <w:color w:val="auto"/>
        </w:rPr>
        <w:t>by R100 in human retinal cells. We have not compared R100 to AAV2 in patients in clinical studies. R100 has been associated with a low inflammation profile and lack of adverse findings in 91 NHP eyes injected in Good Laboratory Practice (“GLP”) toxicology studies, and in the clinic our R100-based products have been generally well-tolerated.</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addition, to our knowledge, 4D-150 is the first genetic medicine product candidate for the eye designed to directly inhibit four different angiogenic growth factor targets, VEGF A, B, and C plus PlGF. We therefore believe there is significant differentiation between our genetic medicine product candidate and other AAV gene therapeutics in development in this therapeutic area.</w:t>
      </w:r>
    </w:p>
    <w:p>
      <w:pPr>
        <w:spacing w:after="0" w:line="20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4D-150 has the potential to be differentiated from approved agents, and those in clinical development, to our knowledge, on the basis of five features:</w:t>
      </w:r>
    </w:p>
    <w:p>
      <w:pPr>
        <w:spacing w:after="0" w:line="90" w:lineRule="exact"/>
        <w:rPr>
          <w:sz w:val="20"/>
          <w:szCs w:val="20"/>
          <w:color w:val="auto"/>
        </w:rPr>
      </w:pPr>
    </w:p>
    <w:p>
      <w:pPr>
        <w:jc w:val="both"/>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Targeting Four Angiogenic Growth Factors</w:t>
      </w:r>
      <w:r>
        <w:rPr>
          <w:rFonts w:ascii="Arial" w:cs="Arial" w:eastAsia="Arial" w:hAnsi="Arial"/>
          <w:sz w:val="18"/>
          <w:szCs w:val="18"/>
          <w:color w:val="auto"/>
        </w:rPr>
        <w:t>: An intravitreal dose of 4D-150 should result in more complete and sustained anti-angiogenic effects through inhibition of four different angiogenic growth factors compared to up to three for approved and development-stage products.</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intravitreal protein therapeutics that require repeat dosing every few weeks for a patient’s lifetime, 4D-150 is designed as a one-time treatment</w:t>
      </w:r>
      <w:r>
        <w:rPr>
          <w:rFonts w:ascii="Arial" w:cs="Arial" w:eastAsia="Arial" w:hAnsi="Arial"/>
          <w:sz w:val="18"/>
          <w:szCs w:val="18"/>
          <w:i w:val="1"/>
          <w:iCs w:val="1"/>
          <w:color w:val="auto"/>
        </w:rPr>
        <w:t>.</w:t>
      </w:r>
    </w:p>
    <w:p>
      <w:pPr>
        <w:spacing w:after="0" w:line="89" w:lineRule="exact"/>
        <w:rPr>
          <w:rFonts w:ascii="Arial" w:cs="Arial" w:eastAsia="Arial" w:hAnsi="Arial"/>
          <w:sz w:val="18"/>
          <w:szCs w:val="18"/>
          <w:color w:val="auto"/>
        </w:rPr>
      </w:pPr>
    </w:p>
    <w:p>
      <w:pPr>
        <w:jc w:val="both"/>
        <w:ind w:left="1020" w:hanging="50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Novel vector evolved in primates for efficient intravitreal delivery in humans</w:t>
      </w:r>
      <w:r>
        <w:rPr>
          <w:rFonts w:ascii="Arial" w:cs="Arial" w:eastAsia="Arial" w:hAnsi="Arial"/>
          <w:sz w:val="18"/>
          <w:szCs w:val="18"/>
          <w:color w:val="auto"/>
        </w:rPr>
        <w:t>: Unlike conventional AAV vectors such as AAV2 or the mouse-evolved AAV vector 7m8, R100 was specifically selected in primates from our collection of approximately one billion synthetic capsid sequences for use in humans.</w:t>
      </w:r>
    </w:p>
    <w:p>
      <w:pPr>
        <w:spacing w:after="0" w:line="93" w:lineRule="exact"/>
        <w:rPr>
          <w:rFonts w:ascii="Arial" w:cs="Arial" w:eastAsia="Arial" w:hAnsi="Arial"/>
          <w:sz w:val="18"/>
          <w:szCs w:val="18"/>
          <w:color w:val="auto"/>
        </w:rPr>
      </w:pPr>
    </w:p>
    <w:p>
      <w:pPr>
        <w:jc w:val="both"/>
        <w:ind w:left="1020" w:hanging="504"/>
        <w:spacing w:after="0" w:line="23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Low inflammation profile design</w:t>
      </w:r>
      <w:r>
        <w:rPr>
          <w:rFonts w:ascii="Arial" w:cs="Arial" w:eastAsia="Arial" w:hAnsi="Arial"/>
          <w:sz w:val="18"/>
          <w:szCs w:val="18"/>
          <w:color w:val="auto"/>
        </w:rPr>
        <w:t>: Following intravitreal injection, R100 has shown a low inflammation profile and no significant adverse findings in three GLP toxicology studies, involving 91 NHP eyes, with two different 4DMT products utilizing the R100 vector (4D-110 and 4D-125). In addition, the R100 vector-based product candidate 4D-125 was administered to patients at doses up to 1E12 vg/eye without dose-limiting toxicities observed to date. Initial clinical data in Cohort 1 of the Phase 1/2 PRISM study for 4D-150 also showed no dose-limiting toxicities and no significant inflammation.</w:t>
      </w:r>
    </w:p>
    <w:p>
      <w:pPr>
        <w:spacing w:after="0" w:line="97"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Commercial opportunity</w:t>
      </w:r>
      <w:r>
        <w:rPr>
          <w:rFonts w:ascii="Arial" w:cs="Arial" w:eastAsia="Arial" w:hAnsi="Arial"/>
          <w:sz w:val="18"/>
          <w:szCs w:val="18"/>
          <w:color w:val="auto"/>
        </w:rPr>
        <w:t>: Intravitreal injections are widely performed by ophthalmologists and used to treat a number of ophthalmological indications. As a result, we believe 4D-150 has the potential for rapid market uptake, if approved. Additionally, the low inflammation profile we have observed in our R100-based GLP toxicology studies and our interim initial clinical data with 4D-150, if confirmed over time in the clinic with 4D-150, may promote broad product adoption, if approved.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carried out a proof-of-concept efficacy study in primates with 4D-150. In this study using the retinal laser-induced CNV model, we treated animals with intravitreal 4D-150 at doses of 1E11, 3E11 and 1E12 vg per eye. Animals received steroid treatment for 28 days following IVT administration of 4D-150 and remained off steroids for the remainder of the study. No adverse findings were reported. We demonstrated 100% suppression of CNV lesions 4-weeks after laser administration, the primary endpoint of the study, including at the lowest dose tested of 1E11 vg/eye. No uveitis or retinal abnormalities were reported at this 1E11 vg/eye dose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130810</wp:posOffset>
            </wp:positionV>
            <wp:extent cx="4195445" cy="3442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95445" cy="344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80" w:firstLine="644"/>
        <w:spacing w:after="0" w:line="245" w:lineRule="auto"/>
        <w:rPr>
          <w:sz w:val="20"/>
          <w:szCs w:val="20"/>
          <w:color w:val="auto"/>
        </w:rPr>
      </w:pPr>
      <w:r>
        <w:rPr>
          <w:rFonts w:ascii="Arial" w:cs="Arial" w:eastAsia="Arial" w:hAnsi="Arial"/>
          <w:sz w:val="18"/>
          <w:szCs w:val="18"/>
          <w:color w:val="auto"/>
        </w:rPr>
        <w:t>In an acute biodistribution study of 4D-150 in primates, a single intravitreal injection resulted in both high levels of ocular aflibercept expression and VEGF-C miRNA expression within the retina at 4 weeks, with no evidence of uveitis or retinal abnormalities observed.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PRISM Clinical Trial for Wet AMD</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4D-150 is currently being evaluated in a first-in-human, on-going Phase 1/2 PRISM dose-escalation and randomized, controlled, masked expansion trial and is expected to enroll approximately 65 adults with wet AMD. We have completed enrolling patients in the dose-escalation phase (n=15). During this phase we are evaluating multiple dose levels of 4D-150 in an open-label design with initial doses of 3E10 (n=5), 1E10 (n=5) and 6E9 (n=5) vg/eye. In the on-going dose expansion phase, patients are being randomized 2:2:1 to receive one of 2 dose levels of 4D-150 (n=20 for each dose level) or aflibercept (n=10) (n=50 total patients). We have selected 3E10 and 1E10 vg/eye for our expansion dose levels. Sites and patients are masked to dose of 4D-150 but not to 4D-150 vs Aflibercept. The primary endpoints of the study are safety and tolerability. Secondary endpoints include the number of supplemental aflibercept injections received and change from baseline in best corrected visual acuity (“BCVA”) over time.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4" w:name="page15"/>
    <w:bookmarkEnd w:id="14"/>
    <w:p>
      <w:pPr>
        <w:jc w:val="both"/>
        <w:ind w:firstLine="644"/>
        <w:spacing w:after="0" w:line="237" w:lineRule="auto"/>
        <w:rPr>
          <w:sz w:val="20"/>
          <w:szCs w:val="20"/>
          <w:color w:val="auto"/>
        </w:rPr>
      </w:pPr>
      <w:r>
        <w:rPr>
          <w:rFonts w:ascii="Arial" w:cs="Arial" w:eastAsia="Arial" w:hAnsi="Arial"/>
          <w:sz w:val="18"/>
          <w:szCs w:val="18"/>
          <w:color w:val="auto"/>
        </w:rPr>
        <w:t>In January 2022, we announced we had dosed our first patient in the PRISM study. In November 2022, we announced interim clinical data from Cohort 1 (n=5, 3E10 vg/eye) with a data cutoff date of October 13, 2022 (providing 3-10 months of follow-up for patients in Cohort 1). 4D-150 was reported to be safe and well tolerated, with no serious adverse events or dose-limiting toxicities. In addition, no clinically significant intraocular inflammation, no endophthalmitis, no retinal vasculitis, no retinal artery occlusion, no choroidal effusions and no hypotony were reported.</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4D-150-mediated expression of the aflibercept transgene protein was demonstrated in the aqueous humor of the eye at 12 weeks after 4D-150 injection in all patients’ samples evaluated to date (n=3). In all three patients, aflibercept concentrations were in a potentially therapeutically active range. The mean annualized anti-VEGF injection rate in the 12 months prior to 4D-150 treatment was ~11 in cohort 1, indicating that these were high-need patients requiring frequent injections. Following intravitreal 4D-150, the annualized anti-VEGF injection rate for cohort 1 was reduced by 96.7% through the follow-up period of ~40, 36, 32 or 16 weeks.</w:t>
      </w:r>
    </w:p>
    <w:p>
      <w:pPr>
        <w:spacing w:after="0" w:line="20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February 2023, we announced that interim PRISM data for dose Cohorts 1, 2 &amp; 3 (n=15) were to be presented at the 2023 Association for Research in Vision and Ophthalmology (ARVO) Annual Meeting. The randomized Phase 2 dose expansion portion of the Phase 1/2 PRISM clinical trial with 4D-150 for wet AMD is currently enrolling.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SPECTRA Clinical Trial for DME</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Phase 2 SPECTRA clinical trial will assess 4D-150 in patients with DME. The study design consists of a Dose Confirmation stage followed by a masked Dose Expansion stage, in which patients will be randomized to receive a single intravitreal injection at one of two dose levels of 4D-150 or aflibercept. In both stages, patients will be randomized 1:1:1 to one of two doses of 4D-150 or aflibercept: n=18 in Dose Confirmation and n=54 in Dose Expansion. The doses to be evaluated in DME are anticipated to be between 6E9 to 3E10 vg/eye. In February 2023, we announced FDA clearance of the IND for 4D-150 for the treatment of DME. The IND clearance enables the initiation of SPECTRA clinical study sites, and 4DMT expects to begin enrollment in the third quarter of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4D-175 for Geographic Atrophy</w:t>
      </w:r>
    </w:p>
    <w:p>
      <w:pPr>
        <w:spacing w:after="0" w:line="229"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Geographic atrophy (GA) is a highly prevalent disease with significant unmet medical need. It is estimated that there are over one million individuals with GA in the United States according to published data. The first therapy for GA, the complement C3 inhibitor pegcetacoplan, was approved by the U.S. FDA in February 2023.</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Preclinical development was initiated for a new 4DMT product candidate 4D-175 designed for single dose intravitreal treatment of patients with GA; the product candidate will utilize 4DMT’s proprietary R100 intravitreal vector currently used in the wet AMD and DME programs, and a transgene payload that addresses a complement pathway target (undisclosed). We anticipate that development and manufacturing activities will benefit from prior clinical experience and GMP manufacturing of three other R100-based ophthalmology product candidates that have been dosed in ophthalmology patients with wet AMD, X-Linked Retinitis Pigmentosa (XLRP) and choroideremia.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Inherited Retinal Diseases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4D-125 for X-Linked Retinitis Pigmentosa (“XLRP”)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2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XLRP is a rare inherited X-linked recessive genetic disorder that causes progressive vision loss and blindness. There are currently no approved therapies for XLRP. Seventy percent of cases are caused by mutations in the retinitis pigmentosa GTPase regulator (“</w:t>
      </w:r>
      <w:r>
        <w:rPr>
          <w:rFonts w:ascii="Arial" w:cs="Arial" w:eastAsia="Arial" w:hAnsi="Arial"/>
          <w:sz w:val="18"/>
          <w:szCs w:val="18"/>
          <w:i w:val="1"/>
          <w:iCs w:val="1"/>
          <w:color w:val="auto"/>
        </w:rPr>
        <w:t>RPGR”</w:t>
      </w:r>
      <w:r>
        <w:rPr>
          <w:rFonts w:ascii="Arial" w:cs="Arial" w:eastAsia="Arial" w:hAnsi="Arial"/>
          <w:sz w:val="18"/>
          <w:szCs w:val="18"/>
          <w:color w:val="auto"/>
        </w:rPr>
        <w:t>) gene. The estimated worldwide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 w:name="page16"/>
    <w:bookmarkEnd w:id="15"/>
    <w:p>
      <w:pPr>
        <w:jc w:val="both"/>
        <w:spacing w:after="0" w:line="242" w:lineRule="auto"/>
        <w:rPr>
          <w:sz w:val="20"/>
          <w:szCs w:val="20"/>
          <w:color w:val="auto"/>
        </w:rPr>
      </w:pPr>
      <w:r>
        <w:rPr>
          <w:rFonts w:ascii="Arial" w:cs="Arial" w:eastAsia="Arial" w:hAnsi="Arial"/>
          <w:sz w:val="18"/>
          <w:szCs w:val="18"/>
          <w:color w:val="auto"/>
        </w:rPr>
        <w:t xml:space="preserve">prevalence of XLRP due to </w:t>
      </w:r>
      <w:r>
        <w:rPr>
          <w:rFonts w:ascii="Arial" w:cs="Arial" w:eastAsia="Arial" w:hAnsi="Arial"/>
          <w:sz w:val="18"/>
          <w:szCs w:val="18"/>
          <w:i w:val="1"/>
          <w:iCs w:val="1"/>
          <w:color w:val="auto"/>
        </w:rPr>
        <w:t>RPGR</w:t>
      </w:r>
      <w:r>
        <w:rPr>
          <w:rFonts w:ascii="Arial" w:cs="Arial" w:eastAsia="Arial" w:hAnsi="Arial"/>
          <w:sz w:val="18"/>
          <w:szCs w:val="18"/>
          <w:color w:val="auto"/>
        </w:rPr>
        <w:t xml:space="preserve"> variants is approximately one in 25,600 people, which represents approximately 24,000 patients in the United States, and France, Germany, Italy, Spain, and the United Kingdom. XLRP is characterized by dysfunction and degeneration of photoreceptors in the retina. Loss of </w:t>
      </w:r>
      <w:r>
        <w:rPr>
          <w:rFonts w:ascii="Arial" w:cs="Arial" w:eastAsia="Arial" w:hAnsi="Arial"/>
          <w:sz w:val="18"/>
          <w:szCs w:val="18"/>
          <w:i w:val="1"/>
          <w:iCs w:val="1"/>
          <w:color w:val="auto"/>
        </w:rPr>
        <w:t>RPGR</w:t>
      </w:r>
      <w:r>
        <w:rPr>
          <w:rFonts w:ascii="Arial" w:cs="Arial" w:eastAsia="Arial" w:hAnsi="Arial"/>
          <w:sz w:val="18"/>
          <w:szCs w:val="18"/>
          <w:color w:val="auto"/>
        </w:rPr>
        <w:t>function in retinal cells causes the progressive loss of rod and cone photoreceptors, leading to the progressive loss of vision. Symptoms of XLRP are initially night blindness, followed by loss of peripheral visual field, decreasing visual acuity and eventually blindness. While males are usually the most affected, approximately 25% of heterozygous females experience loss of vision.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are developing 4D-125 for the treatment of patients with XLRP with RPGR mutations. This product candidate is comprised of R100 and a codon-optimized RPGR transgene engineered for expression within human photoreceptors. In primate models, we have observed widespread transduction and transgene expression across the entire retinal surface. We believe that 4D-125 has the potential to successfully treat XLRP patients at the earliest stages of their disease progression and, ideally, slow or prevent progression and retain vision.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Genetic Medicines for XLRP</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Several companies are developing subretinal AAV gene therapies for patients with XLRP. In Phase 1 and 2 trials, investigators have reported improvements in visual field function within the localized retina area receiving the treatment bleb in a subset of patients. These AAV gene therapies require invasive subretinal surgery, which has been associated with subretinal surgery-related adverse events. In addition, subretinal surgery results in transduction and direct treatment of only a small fraction of the retina and may be, therefore, limited to patients with more advanced disease with a small remaining area of viable retinal cells. We believe 4D-125 has the potential to be differentiated from other AAV gene therapies in clinical development, to our knowledge, on the basis of four features: 1) Safe and routine intravitreal route of administration, 2) treatment of the entire retinal surface, 3) feasibility of treating earlier stage patients, and 4) commercial feasibility of intravitreal injections compared to subretinal injections.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2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4D-125 is currently being evaluated in a first-in-human Phase 1/2 dose escalation and dose expansion clinical trial. The primary objectives of this trial are to evaluate the safety and maximum tolerated dose of 4D-125. Secondary endpoints include assessments of biologic activity, including both visual field function and anatomical endpoints.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reported initial clinical data on this program in October 2021. As of the data cutoff date of September 1, 2021, eight patients with clinically advanced XLRP due to RPGR gene mutation had been treated. A standard 3+3 dose escalation was used. Patients were enrolled in one of three dose cohorts: dose-escalation cohort 1 (3E11 vg/eye; n=3), dose-escalation cohort 2 (1E12 vg/eye n=3) and the dose expansion cohort (1E12vg/eye; n=2). Patients enrolled in the dose escalation cohorts of this first-in-human clinical trial had clinically-advanced XLRP, with patients having limited or no measurable remaining photoreceptor area or retinal sensitivity.</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4D-125 was well-tolerated and did not result in dose-limiting toxicities. No serious adverse events were reported. Two dose escalation patients (n=1 at 3E11 vg/eye; n=1 at 1E12 vg/eye) were evaluable for clinical activity defined as having both measurable ellipsoid-zone area ("EZ Area") by spectral domain optical coherence tomography ("SD-OCT") and retinal sensitivity by microperimetry in both the treated and untreated control eye with at least six months follow-up; dose expansion cohort patients (n=2) had not yet reached six months of follow-up. Both patients demonstrated slowed loss of EZ Area in the injected eye vs. the non-injected eye, as well as improved microperimetry function compared to the non-injected eye.</w:t>
      </w:r>
    </w:p>
    <w:p>
      <w:pPr>
        <w:spacing w:after="0" w:line="20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Enrollment in the Dose Expansion portion of the Phase 1/2 clinical trial for 4D-125 was completed in the first quarter of 2023 with 9 patients enrolled (for a total of 15 patients enrolled in both parts of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6" w:name="page17"/>
    <w:bookmarkEnd w:id="16"/>
    <w:p>
      <w:pPr>
        <w:jc w:val="both"/>
        <w:spacing w:after="0"/>
        <w:rPr>
          <w:sz w:val="20"/>
          <w:szCs w:val="20"/>
          <w:color w:val="auto"/>
        </w:rPr>
      </w:pPr>
      <w:r>
        <w:rPr>
          <w:rFonts w:ascii="Arial" w:cs="Arial" w:eastAsia="Arial" w:hAnsi="Arial"/>
          <w:sz w:val="18"/>
          <w:szCs w:val="18"/>
          <w:color w:val="auto"/>
        </w:rPr>
        <w:t>study). The safety and tolerability profile remains unchanged from prior data releases. We will continue to follow these patients for 24 months to assess the magnitude and durability of key imaging endpoint changes in evaluable patients. We anticipate providing program and clinical data updates in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4D-110 for Choroideremia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 xml:space="preserve">Choroideremia is a monogenic blinding disease, affecting approximately 13,000 patients in the United States and EU-5. No products are approved currently for the treatment of this disease in the United States or European Union. This X-linked, progressive degenerative disease of the retina and choroid is caused exclusively by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that encodes for the REP1 protein. While choroideremia primarily affects men, some heterozygous females also suffer variable visual loss from the condition.</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 xml:space="preserve">Choroideremia initially manifests as night-blindness and peripheral visual field defects, usually starting in the first two decades of life. The visual field begins to constrict relatively early in the disease’s progression, which hinders patients’ ability to conduct daily activities such as driving. Many patients become blind by 30 years of age. A patient with advanced disease will be legally blind by virtue of poor visual acuity and minimal preserved visual field. Almost all mutations in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gene result in production of a non-functional REP1 protein. REP1 is essential for the activation (prenylation) of Ras-associated binding (“Rab”) proteins involved in intracellular vesicle trafficking.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 xml:space="preserve">We are developing 4D-110 for the treatment of choroideremia. 4D-110 is designed for a single intravitreal injection and to benefit patients at all stages of disease, including early-stage patients whose entire viable retinas are not adequately treated by subretinal injection. 4D-110 contains the R100 vector and is engineered to deliver the </w:t>
      </w:r>
      <w:r>
        <w:rPr>
          <w:rFonts w:ascii="Arial" w:cs="Arial" w:eastAsia="Arial" w:hAnsi="Arial"/>
          <w:sz w:val="18"/>
          <w:szCs w:val="18"/>
          <w:i w:val="1"/>
          <w:iCs w:val="1"/>
          <w:color w:val="auto"/>
        </w:rPr>
        <w:t>CHM</w:t>
      </w:r>
      <w:r>
        <w:rPr>
          <w:rFonts w:ascii="Arial" w:cs="Arial" w:eastAsia="Arial" w:hAnsi="Arial"/>
          <w:sz w:val="18"/>
          <w:szCs w:val="18"/>
          <w:color w:val="auto"/>
        </w:rPr>
        <w:t xml:space="preserve"> transgene, the dysfunctional gene in choroideremia, to human RPE cells safely. We believe that 4D-110 has the potential, if approved, to successfully treat choroideremia patients at the earliest stages of their disease progression and ideally, slow or prevent progression and retain vision.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Genetic Medicines for Choroideremia</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Previously, subretinal conventional AAV gene therapy approaches were being developed to treat choroideremia. With the discontinuation of BIIB111, there is currently no direct competition for the choroideremia market. Subretinal administration requires an invasive surgical procedure, which has been associated with subretinal surgery-related adverse events. In addition, subretinal surgery results in transduction of only a small fraction of the retina and is therefore limited to patients with more advanced disease who have a small remaining area of viable retinal cells.</w:t>
      </w:r>
    </w:p>
    <w:p>
      <w:pPr>
        <w:spacing w:after="0" w:line="205" w:lineRule="exact"/>
        <w:rPr>
          <w:sz w:val="20"/>
          <w:szCs w:val="20"/>
          <w:color w:val="auto"/>
        </w:rPr>
      </w:pPr>
    </w:p>
    <w:p>
      <w:pPr>
        <w:jc w:val="both"/>
        <w:ind w:firstLine="706"/>
        <w:spacing w:after="0" w:line="234" w:lineRule="auto"/>
        <w:rPr>
          <w:sz w:val="20"/>
          <w:szCs w:val="20"/>
          <w:color w:val="auto"/>
        </w:rPr>
      </w:pPr>
      <w:r>
        <w:rPr>
          <w:rFonts w:ascii="Arial" w:cs="Arial" w:eastAsia="Arial" w:hAnsi="Arial"/>
          <w:sz w:val="18"/>
          <w:szCs w:val="18"/>
          <w:color w:val="auto"/>
        </w:rPr>
        <w:t>We believe 4D-110 has the potential to be differentiated from AAV gene therapies in development on the basis of four features: 1) safe and routine intravitreal route of administration, 2) treatment of the entire retinal surface, 3) feasibility of treating early stage patients, and</w:t>
      </w:r>
    </w:p>
    <w:p>
      <w:pPr>
        <w:spacing w:after="0" w:line="1" w:lineRule="exact"/>
        <w:rPr>
          <w:sz w:val="20"/>
          <w:szCs w:val="20"/>
          <w:color w:val="auto"/>
        </w:rPr>
      </w:pPr>
    </w:p>
    <w:p>
      <w:pPr>
        <w:ind w:right="4700" w:firstLine="8"/>
        <w:spacing w:after="0" w:line="484"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feasibility of intravitreal injections compared to subretinal injections. Clinical Development: Phase 1/2 Clinical Trial</w:t>
      </w:r>
    </w:p>
    <w:p>
      <w:pPr>
        <w:spacing w:after="0" w:line="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4D-110 is currently being studied in an ongoing Phase 1/2 dose escalation clinical trial in patients with choroideremia. The primary objectives of this trial are to evaluate the safety and maximum tolerated dose of 4D-110. Secondary endpoints include assessments of biologic activity, including both visual field function and anatomical endpoints.</w:t>
      </w:r>
    </w:p>
    <w:p>
      <w:pPr>
        <w:spacing w:after="0" w:line="202" w:lineRule="exact"/>
        <w:rPr>
          <w:sz w:val="20"/>
          <w:szCs w:val="20"/>
          <w:color w:val="auto"/>
        </w:rPr>
      </w:pPr>
    </w:p>
    <w:p>
      <w:pPr>
        <w:jc w:val="both"/>
        <w:ind w:firstLine="702"/>
        <w:spacing w:after="0" w:line="245" w:lineRule="auto"/>
        <w:rPr>
          <w:sz w:val="20"/>
          <w:szCs w:val="20"/>
          <w:color w:val="auto"/>
        </w:rPr>
      </w:pPr>
      <w:r>
        <w:rPr>
          <w:rFonts w:ascii="Arial" w:cs="Arial" w:eastAsia="Arial" w:hAnsi="Arial"/>
          <w:sz w:val="18"/>
          <w:szCs w:val="18"/>
          <w:color w:val="auto"/>
        </w:rPr>
        <w:t>We reported initial clinical data on this program in October 2021. As of the October 2021 data disclosure, six patients with clinically advanced choroideremia were treated. A standard 3+3 dose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escalation design was used. Patients were enrolled in one of two dose cohorts: 3E11 vg/eye (cohort 1; n=3) and 1E12 vg/eye (cohort 2; n=3).</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At the 3E11 vg/eye dose (Cohort 1), 4D-110 was generally well-tolerated with no dose-limiting toxicities or serious adverse events. At the 1E12 vg/eye dose, pigment dispersion (iris transillumination) was observed in three patients in the 1E12 vg/eye cohort approximately 7 to 9 months following treatment. Two cases were asymptomatic and one patient reported mild glare. In each case the investigator described this as a Serious Adverse Event, but no hospitalization or medical intervention was initiated. Potential initial signals of clinical activity were observed at this dose, through anatomical measurements of the retinal pigment epithelium (“RPE”) by fundus autofluorescence area and photoreceptors by ellipsoid zone area.</w:t>
      </w:r>
    </w:p>
    <w:p>
      <w:pPr>
        <w:spacing w:after="0" w:line="20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Enrollment in the Dose Escalation portion of the Phase 1/2 clinical trial for 4D-110 was completed in the second quarter of 2022 with 13 patients treated. The safety and tolerability profile remains unchanged from prior data releases. We will continue to follow these patients for 24 months to assess the magnitude and durability of key imaging endpoint changes in evaluable patients. We anticipate providing program and clinical data updates in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Pulmonology Therapeutic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developing product candidates to treat lung diseases. Our customized and evolved vector, A101, is used in all of our pulmonology disease product candidates at this time. A101 was invented for aerosol delivery leading to transgene expression throughout all regions of the airways and alveoli, as well as resistance to pre-existing antibodies in humans. We believe that this modular product approach, utilizing A101 for multiple product candidates by switching the therapeutic transgene insert, will increase product development efficiencies, decrease development risks and help inform the clinical development of subsequent product candidates using the same vector.</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first pulmonology product candidate is 4D-710 for cystic fibrosis lung disease. This product candidate has completed non-GLP dose-ranging and GLP toxicology and biodistribution studies in primates by aerosol delivery. No notable adverse effects were reported, and widespread biodistribution and transgene expression were observed throughout all lung segments tested in all NHPs. We are currently enrolling a Phase 1/2 clinical trial in patients with cystic fibrosis.</w:t>
      </w:r>
    </w:p>
    <w:p>
      <w:pPr>
        <w:spacing w:after="0" w:line="20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second pulmonology product candidate is 4D-725 for alpha-1 antitrypsin deficiency lung disease, currently in preclinical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4D-710 for Cystic Fibrosis Lung Disease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Cystic fibrosis is the most common fatal inherited disease in the United States and results from mutations in the cystic fibrosis transmembrane conductance regulator (“CFTR”) gene. Cystic fibrosis causes impaired lung function, inflammation, and bronchiectasis and is commonly associated with repeat and persistent lung infections due to the inability to clear thickened mucus from the lung, often resulting in frequent exacerbations and hospitalizations and eventual end-stage respiratory failure. There is no cure for cystic fibrosis, and the median age of death for patients is approximately 40 years in developed countries. Cystic fibrosis is considered a rare, or orphan, disease by both the FDA and the EMA.</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According to the Cystic Fibrosis Foundation, nearly 40,000 people in the United States and an estimated 105,000 people worldwide are living with cystic fibrosis, and approximately 1,000 new cases of cystic fibrosis are diagnosed in the United States each year. Patients with cystic fibrosis require lifelong treatment with multiple daily medications, frequent hospitalizations and, ultimately, lung transplants in some end-stage patients. The quality of life for people with cystic fibrosis is further compromised as a result of spending significant time on self-care every day and frequent outpatient doctor visits and hospitalizations.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8" w:name="page19"/>
    <w:bookmarkEnd w:id="18"/>
    <w:p>
      <w:pPr>
        <w:jc w:val="both"/>
        <w:ind w:firstLine="644"/>
        <w:spacing w:after="0"/>
        <w:rPr>
          <w:sz w:val="20"/>
          <w:szCs w:val="20"/>
          <w:color w:val="auto"/>
        </w:rPr>
      </w:pPr>
      <w:r>
        <w:rPr>
          <w:rFonts w:ascii="Arial" w:cs="Arial" w:eastAsia="Arial" w:hAnsi="Arial"/>
          <w:sz w:val="18"/>
          <w:szCs w:val="18"/>
          <w:color w:val="auto"/>
        </w:rPr>
        <w:t>Until recently, approved therapies to treat cystic fibrosis patients were only designed to treat the manifestations of cystic fibrosis, for example by preventing and controlling infections that occur in the lungs, rather than addressing the underlying cause of the disease. Accordingly, antibiotics are frequently used along with mucus-thinning drugs.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More recently, a new class of drugs called modulators target CFTR for patients with certain gene mutations. Several therapies from Vertex Pharmaceuticals Inc. have been approved for marketing in the United States and the European Union based on their ability to improve lung function in genetically defined subsets of cystic fibrosis patients. In 2019, the FDA approved triple drug therapy with Trikafta (elexacaftor/ivacaftor/tezacaftor), which Vertex believes would be applicable for up to 90% of patients with cystic fibrosis, leaving at least 10% with no CFTR-targeted options. While these therapies improve lung function, they fall short of restoring it to the normal range in most patients, and these chronic therapies require daily dosing for the patient’s lifetime. In addition, the existing cystic fibrosis drugs have been associated with tolerability issues, thus limiting their use in some patients.</w:t>
      </w:r>
    </w:p>
    <w:p>
      <w:pPr>
        <w:spacing w:after="0" w:line="207" w:lineRule="exact"/>
        <w:rPr>
          <w:sz w:val="20"/>
          <w:szCs w:val="20"/>
          <w:color w:val="auto"/>
        </w:rPr>
      </w:pPr>
    </w:p>
    <w:p>
      <w:pPr>
        <w:jc w:val="both"/>
        <w:ind w:firstLine="697"/>
        <w:spacing w:after="0" w:line="237" w:lineRule="auto"/>
        <w:rPr>
          <w:sz w:val="20"/>
          <w:szCs w:val="20"/>
          <w:color w:val="auto"/>
        </w:rPr>
      </w:pPr>
      <w:r>
        <w:rPr>
          <w:rFonts w:ascii="Arial" w:cs="Arial" w:eastAsia="Arial" w:hAnsi="Arial"/>
          <w:sz w:val="18"/>
          <w:szCs w:val="18"/>
          <w:color w:val="auto"/>
        </w:rPr>
        <w:t>We believe there is a clinical need and market opportunity for a durable aerosolized therapy, delivered by breath-actuated nebulizer, that can restore normal CFTR function across all cystic fibrosis patient subgroups, including patients who are receiving combination CFTR-modulator therapies and/or do not have appreciable CFTR protein expression and are therefore not amenable to CFTR modulators. We expect to explore single agent therapy with 4D-710 initially in patients whose disease is not amenable to CFTR modulators (estimated to include approximately 15% of people with cystic fibrosis who have null mutations or are unable to tolerate modulators), and to explore single agent or combination therapy with CFTR modulators for the remaining approximately 85% of patients with cystic fibrosis.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 xml:space="preserve">We are developing 4D-710 for the treatment of a broad range of patients with cystic fibrosis independent of their specific </w:t>
      </w:r>
      <w:r>
        <w:rPr>
          <w:rFonts w:ascii="Arial" w:cs="Arial" w:eastAsia="Arial" w:hAnsi="Arial"/>
          <w:sz w:val="18"/>
          <w:szCs w:val="18"/>
          <w:i w:val="1"/>
          <w:iCs w:val="1"/>
          <w:color w:val="auto"/>
        </w:rPr>
        <w:t>CFTR</w:t>
      </w:r>
      <w:r>
        <w:rPr>
          <w:rFonts w:ascii="Arial" w:cs="Arial" w:eastAsia="Arial" w:hAnsi="Arial"/>
          <w:sz w:val="18"/>
          <w:szCs w:val="18"/>
          <w:color w:val="auto"/>
        </w:rPr>
        <w:t xml:space="preserve"> mutation. 4D-710 is designed for efficient single dose aerosol delivery to the proximal and distal airways and alveoli, subsequent mucus barrier penetration, lung epithelial cell transduction, and resistance to pre-existing antibodies in humans. The intended result is to achieve CFTR expression within lung epithelial cells for correction of cystic fibrosis lung disease. 4D-710 is comprised of our customized and evolved vector, A101, and a codon-optimized version of a synthetic truncated </w:t>
      </w:r>
      <w:r>
        <w:rPr>
          <w:rFonts w:ascii="Arial" w:cs="Arial" w:eastAsia="Arial" w:hAnsi="Arial"/>
          <w:sz w:val="18"/>
          <w:szCs w:val="18"/>
          <w:i w:val="1"/>
          <w:iCs w:val="1"/>
          <w:color w:val="auto"/>
        </w:rPr>
        <w:t>CFTR</w:t>
      </w:r>
      <w:r>
        <w:rPr>
          <w:rFonts w:ascii="Arial" w:cs="Arial" w:eastAsia="Arial" w:hAnsi="Arial"/>
          <w:sz w:val="18"/>
          <w:szCs w:val="18"/>
          <w:color w:val="auto"/>
        </w:rPr>
        <w:t xml:space="preserve"> transgene </w:t>
      </w:r>
      <w:r>
        <w:rPr>
          <w:rFonts w:ascii="Arial" w:cs="Arial" w:eastAsia="Arial" w:hAnsi="Arial"/>
          <w:sz w:val="18"/>
          <w:szCs w:val="18"/>
          <w:i w:val="1"/>
          <w:iCs w:val="1"/>
          <w:color w:val="auto"/>
        </w:rPr>
        <w:t>CFTRΔR</w:t>
      </w:r>
      <w:r>
        <w:rPr>
          <w:rFonts w:ascii="Arial" w:cs="Arial" w:eastAsia="Arial" w:hAnsi="Arial"/>
          <w:sz w:val="18"/>
          <w:szCs w:val="18"/>
          <w:color w:val="auto"/>
        </w:rPr>
        <w:t xml:space="preserve">. </w:t>
      </w:r>
      <w:r>
        <w:rPr>
          <w:rFonts w:ascii="Arial" w:cs="Arial" w:eastAsia="Arial" w:hAnsi="Arial"/>
          <w:sz w:val="18"/>
          <w:szCs w:val="18"/>
          <w:i w:val="1"/>
          <w:iCs w:val="1"/>
          <w:color w:val="auto"/>
        </w:rPr>
        <w:t>CFTRΔR</w:t>
      </w:r>
      <w:r>
        <w:rPr>
          <w:rFonts w:ascii="Arial" w:cs="Arial" w:eastAsia="Arial" w:hAnsi="Arial"/>
          <w:sz w:val="18"/>
          <w:szCs w:val="18"/>
          <w:color w:val="auto"/>
        </w:rPr>
        <w:t xml:space="preserve"> is a construct that retains the most critical functional components of the full-size </w:t>
      </w:r>
      <w:r>
        <w:rPr>
          <w:rFonts w:ascii="Arial" w:cs="Arial" w:eastAsia="Arial" w:hAnsi="Arial"/>
          <w:sz w:val="18"/>
          <w:szCs w:val="18"/>
          <w:i w:val="1"/>
          <w:iCs w:val="1"/>
          <w:color w:val="auto"/>
        </w:rPr>
        <w:t>CFTR</w:t>
      </w:r>
      <w:r>
        <w:rPr>
          <w:rFonts w:ascii="Arial" w:cs="Arial" w:eastAsia="Arial" w:hAnsi="Arial"/>
          <w:sz w:val="18"/>
          <w:szCs w:val="18"/>
          <w:color w:val="auto"/>
        </w:rPr>
        <w:t xml:space="preserve"> gene and is small enough to fit within AAV vector packaging constraints.</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Initially, we plan to focus on the approximately 15% of all patients who are not amenable to existing medicines targeting the CFTR protein as we believe these patients have the highest unmet medical need. In patients with CFTR mutations that are amenable to modulator medicines, while therapies demonstrate improvements in lung function, these modulators do not restore normal lung function in most patients. Further, these chronic therapies require daily dosing for the patient’s lifetime. We therefore expect to eventually develop 4D-710 in this patient population, as a single agent and/or in combination with these CFTR modulator small molecule medicines.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Genetic Medicines for Cystic Fibrosis Lung Disease</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 number of biotechnology companies have pursued genetic medicine solutions to treat cystic fibrosis. We believe these prior attempts to deliver AAV genetic medicine to the lungs of cystic fibrosis patients have failed due to an inability of conventional AAV vectors to penetrate through the lung mucus barrier and transduce lung cells efficiently. Further, we believe antibody neutralization of AAV likely also played a role in the lack of efficacy, as the mucosal immune system actively transports large quantities of antibodies into all mucus secretions, including on the lung mucosa.</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While a number of companies are currently pursuing other genetic medicine solutions utilizing liposomes, herpesvirus, lentivirus, or conventional AAV vectors, these product candidates are in early stages of development. Moreover, they are not, to our knowledge, comprised of AAV vectors evolved in primates for aerosol delivery diffusely throughout the lung airways and alveoli. In addition, we believe these products were not designed for resistance to pre-existing antibodies to conventional AAVs, which 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9" w:name="page20"/>
    <w:bookmarkEnd w:id="19"/>
    <w:p>
      <w:pPr>
        <w:jc w:val="both"/>
        <w:spacing w:after="0"/>
        <w:rPr>
          <w:sz w:val="20"/>
          <w:szCs w:val="20"/>
          <w:color w:val="auto"/>
        </w:rPr>
      </w:pPr>
      <w:r>
        <w:rPr>
          <w:rFonts w:ascii="Arial" w:cs="Arial" w:eastAsia="Arial" w:hAnsi="Arial"/>
          <w:sz w:val="18"/>
          <w:szCs w:val="18"/>
          <w:color w:val="auto"/>
        </w:rPr>
        <w:t>potentially a key requirement for successful delivery in the lung. As a result, to our knowledge, 4D-710 is the only AAV genetic medicine product candidate in development designed specifically with a vector selected for aerosol delivery in primates, including humans, and with resistance to antibodies in the human population.</w:t>
      </w:r>
    </w:p>
    <w:p>
      <w:pPr>
        <w:spacing w:after="0" w:line="20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4D-710 has the potential to be differentiated from approved agents, and those in clinical development to our knowledge, on the basis of four features:</w:t>
      </w:r>
    </w:p>
    <w:p>
      <w:pPr>
        <w:spacing w:after="0" w:line="90" w:lineRule="exact"/>
        <w:rPr>
          <w:sz w:val="20"/>
          <w:szCs w:val="20"/>
          <w:color w:val="auto"/>
        </w:rPr>
      </w:pPr>
    </w:p>
    <w:p>
      <w:pPr>
        <w:jc w:val="both"/>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Corrective mechanism-of-action</w:t>
      </w:r>
      <w:r>
        <w:rPr>
          <w:rFonts w:ascii="Arial" w:cs="Arial" w:eastAsia="Arial" w:hAnsi="Arial"/>
          <w:sz w:val="18"/>
          <w:szCs w:val="18"/>
          <w:color w:val="auto"/>
        </w:rPr>
        <w:t>: An aerosol dose of 4D-710 is designed to result in therapeutic levels of the CFTR protein directly within target cells lining the airway. 4D-710 comprises a customized and evolved vector invented for aerosol delivery, mucus barrier penetration and transduction of epithelial cells within the airways and alveoli of primates and humans.</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Long duration therapy</w:t>
      </w:r>
      <w:r>
        <w:rPr>
          <w:rFonts w:ascii="Arial" w:cs="Arial" w:eastAsia="Arial" w:hAnsi="Arial"/>
          <w:sz w:val="18"/>
          <w:szCs w:val="18"/>
          <w:color w:val="auto"/>
        </w:rPr>
        <w:t>: Unlike CFTR-targeted small molecules that require daily dosing for a patient’s entire life, 4D-710 is designed for significantly less frequent dosing.</w:t>
      </w:r>
    </w:p>
    <w:p>
      <w:pPr>
        <w:spacing w:after="0" w:line="89" w:lineRule="exact"/>
        <w:rPr>
          <w:rFonts w:ascii="Arial" w:cs="Arial" w:eastAsia="Arial" w:hAnsi="Arial"/>
          <w:sz w:val="18"/>
          <w:szCs w:val="18"/>
          <w:color w:val="auto"/>
        </w:rPr>
      </w:pPr>
    </w:p>
    <w:p>
      <w:pPr>
        <w:jc w:val="both"/>
        <w:ind w:left="1020" w:hanging="50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CFTR mutation-independent efficacy</w:t>
      </w:r>
      <w:r>
        <w:rPr>
          <w:rFonts w:ascii="Arial" w:cs="Arial" w:eastAsia="Arial" w:hAnsi="Arial"/>
          <w:sz w:val="18"/>
          <w:szCs w:val="18"/>
          <w:color w:val="auto"/>
        </w:rPr>
        <w:t>: Unlike CFTR-targeted small molecules that are only effective against specific mutations, 4D-710 is designed to be used in patients with cystic fibrosis with any mutation, including in the approximately 15% of patients whose disease is not amenable to standard medical therapy.</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Resistance to AAV antibodies</w:t>
      </w:r>
      <w:r>
        <w:rPr>
          <w:rFonts w:ascii="Arial" w:cs="Arial" w:eastAsia="Arial" w:hAnsi="Arial"/>
          <w:sz w:val="18"/>
          <w:szCs w:val="18"/>
          <w:color w:val="auto"/>
        </w:rPr>
        <w:t>: Unlike conventional AAV vectors, which are sensitive to anti-AAV antibody inhibition, 4D-710 utilizes A101, a vector invented for resistance to human antibody inhibition.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Preclinical Proof-of-Concept Study with Evolved AAV for Aerosol Delivery in the Cystic Fibrosis Pig Model</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 xml:space="preserve">Academic investigators conducted preclinical proof-of-concept studies for utilizing directed evolution to discover vectors for delivering a corrective CFTR gene construct to cystic fibrosis lung tissue in a large animal model of cystic fibrosis, and in a human cystic fibrosis patient lung tissue model. Building on these previous proof-of-concept studies, our product candidate 4D-710 utilizes a vector, A101, which we in-licensed with exclusive worldwide rights. A101 was evolved and selected in primates, which we believe is more relevant for human use. The product was designed to package the same </w:t>
      </w:r>
      <w:r>
        <w:rPr>
          <w:rFonts w:ascii="Arial" w:cs="Arial" w:eastAsia="Arial" w:hAnsi="Arial"/>
          <w:sz w:val="18"/>
          <w:szCs w:val="18"/>
          <w:i w:val="1"/>
          <w:iCs w:val="1"/>
          <w:color w:val="auto"/>
        </w:rPr>
        <w:t>microCFTR</w:t>
      </w:r>
      <w:r>
        <w:rPr>
          <w:rFonts w:ascii="Arial" w:cs="Arial" w:eastAsia="Arial" w:hAnsi="Arial"/>
          <w:sz w:val="18"/>
          <w:szCs w:val="18"/>
          <w:color w:val="auto"/>
        </w:rPr>
        <w:t xml:space="preserve"> transgene payload in this vector that was customized for use in humans.</w:t>
      </w:r>
    </w:p>
    <w:p>
      <w:pPr>
        <w:spacing w:after="0" w:line="187"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 xml:space="preserve">In addition, directed evolution was used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human organotypic air-liquid interface model of lung epithelium to select A100 (AAV2.5T), which we also in-licensed with exclusive worldwide rights. In preclinical studies, A100 carrying </w:t>
      </w:r>
      <w:r>
        <w:rPr>
          <w:rFonts w:ascii="Arial" w:cs="Arial" w:eastAsia="Arial" w:hAnsi="Arial"/>
          <w:sz w:val="18"/>
          <w:szCs w:val="18"/>
          <w:i w:val="1"/>
          <w:iCs w:val="1"/>
          <w:color w:val="auto"/>
        </w:rPr>
        <w:t>micro</w:t>
      </w:r>
      <w:r>
        <w:rPr>
          <w:rFonts w:ascii="Arial" w:cs="Arial" w:eastAsia="Arial" w:hAnsi="Arial"/>
          <w:sz w:val="18"/>
          <w:szCs w:val="18"/>
          <w:color w:val="auto"/>
        </w:rPr>
        <w:t>CFTR transduced human lung epithelial tissue and resulted in expression of functional protein as suggested by increased chloride ion transport as compared to untreated control.</w:t>
      </w:r>
    </w:p>
    <w:p>
      <w:pPr>
        <w:spacing w:after="0" w:line="198"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We believe that these results demonstrate that a customized and evolved vector can penetrate the mucus layer of diseased cystic fibrosis lungs and deliver functional CFTR protein in a well-validated large animal model of the disease, as well as in human cystic fibrosis patient-derived organotypic lung models.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2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 xml:space="preserve">In our primate studies of a single aerosol delivered dose of 4D-710 at two different dose levels, treatment resulted in widespread distribution, CFTR transgene expression throughout both proximal and distal airways and alveoli. No meaningful inflammation or adverse findings were reported on in-life examinations, hematology or clinical chemistry analyses, or lung histology analyses.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studies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0" w:name="page21"/>
    <w:bookmarkEnd w:id="20"/>
    <w:p>
      <w:pPr>
        <w:jc w:val="both"/>
        <w:spacing w:after="0" w:line="245" w:lineRule="auto"/>
        <w:rPr>
          <w:sz w:val="20"/>
          <w:szCs w:val="20"/>
          <w:color w:val="auto"/>
        </w:rPr>
      </w:pPr>
      <w:r>
        <w:rPr>
          <w:rFonts w:ascii="Arial" w:cs="Arial" w:eastAsia="Arial" w:hAnsi="Arial"/>
          <w:sz w:val="18"/>
          <w:szCs w:val="18"/>
          <w:color w:val="auto"/>
        </w:rPr>
        <w:t>demonstrated highly significant resistance to neutralization by human pooled antibody preparations, with human IVIG pooled from over 1,000 individuals.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Clinical Trial</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October 2021, we received clearance from the U.S. Food and Drug Administration (“FDA”) of an Investigational New Drug Application (“IND”) for 4D-710. The Phase 1/2 clinical trial is a multicenter, open-label, dose-escalation and dose-expansion trial of 4D-710 in patients (n= up to ~18) with cystic fibrosis who are ineligible for CFTR modulator therapy or who have discontinued therapy due to adverse effects. The primary endpoint of the study is safety and tolerability. Secondary endpoints include assessments of clinical activity including lung function and quality of life, plus transgene delivery and microCFTR expression as measured within bronchoscopic biopsies and brushings.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2022, we announced that we had dosed our first patient in the Phase 1/2 clinical trial.</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November 2022, we announced interim clinical data at the North American Cystic Fibrosis Conference. The presentation focused on safety, tolerability, and delivery and expression of the 4D-710 CFTR∆R transgene in lung tissue samples from patients enrolled in cohort 1 (n=3; 1E15 vg) with data cutoff date of October 7, 2022. 4D-710 was well tolerated, with no 4D-710-related adverse events following aerosol delivery. The aerosol delivery procedure for 4D-710 was well tolerated. One patient experienced grade 1 dry throat and fatigue during aerosol delivery.</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Clinical biomarker results showed evidence of 4D-710-mediated CFTR∆R transgene DNA delivery in endobronchial biopsies from the three patients (positive in 5 of 5 biopsies, 100%) and evidence CFTR∆R transgene RNA expression (positive in 11 of 11 endobronchial samples (brushing and biopsies), 100%). All 3 major cell types demonstrated transgene expression: ciliated columnar cells, goblet cells and basal cells. Machine learning driven image analyses estimated that ~40% of bronchial epithelial cells were positive for CFTR∆R RNA by in situ hybridization (“ISH,” range 36-47%).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5342890" cy="22777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2890"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00" w:firstLine="644"/>
        <w:spacing w:after="0" w:line="238" w:lineRule="auto"/>
        <w:rPr>
          <w:sz w:val="20"/>
          <w:szCs w:val="20"/>
          <w:color w:val="auto"/>
        </w:rPr>
      </w:pPr>
      <w:r>
        <w:rPr>
          <w:rFonts w:ascii="Arial" w:cs="Arial" w:eastAsia="Arial" w:hAnsi="Arial"/>
          <w:sz w:val="18"/>
          <w:szCs w:val="18"/>
          <w:color w:val="auto"/>
        </w:rPr>
        <w:t>In January 2023, we announced the first patient in the high dose cohort (2E15 vg) was treated in December 2022 and no 4D-710 related adverse events were reported through Day 28. We expect to share additional data from this 4D-710 clinical trial in 2023. We also announced that preclinical research was initiated with the combination of 4D-710 with CFTR modulator therapy to support development of 4D-710 in the approximately 85% of CF patients amenable to CFTR modulator therapy.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4D-725 for Alpha-1 Antitrypsin Deficiency Lung Disease</w:t>
      </w:r>
    </w:p>
    <w:p>
      <w:pPr>
        <w:spacing w:after="0" w:line="229"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Alpha-1 antitrypsin deficiency is a prevalent disease, affecting approximately 200,000 individuals in the United States and Europe according to the NIH. A significant unmet medical need remains despite approved therapies.</w:t>
      </w:r>
    </w:p>
    <w:p>
      <w:pPr>
        <w:spacing w:after="0" w:line="19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Preclinical development was initiated for a new product candidate designed for single dose aerosol treatment of patients with alpha-1 antitrypsin lung disease; this product candidate utilizes 4DMT’s proprietary A101 aerosol vector currently used in the CF program and expresses a genetically-validated transgene. We anticipate that development and manufacturing activities will benefit from prior clinical experience and GMP manufacturing of the A101-based 4D-710 product candidate that has been dosed in CF patients.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Cardiology Therapeutic Area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developing product candidates to treat cardiomyopathies. These target indications may include both primary cardiomyopathies that involve the heart exclusively, or secondary cardiomyopathies that occur in the context of a systemic disease. In the context of secondary cardiomyopathies, such as Fabry disease, we design and engineer the product to treat all diseased organs including the high unmet medical need in the heart. Our customized and evolved vector C102 was invented for low dose intravenous infusion, leading to transgene expression throughout the myocardium in cardiomyocytes. We believe that this approach will help inform the clinical development of subsequent product candidates using the same vector.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4D-310 for Fabry Disease Cardiomyopathy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Disease Background, Unmet Medical Need, and Target Patient Population</w:t>
      </w:r>
    </w:p>
    <w:p>
      <w:pPr>
        <w:spacing w:after="0" w:line="193"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 xml:space="preserve">Fabry disease is a monogenic disease caused by mutations in the </w:t>
      </w:r>
      <w:r>
        <w:rPr>
          <w:rFonts w:ascii="Arial" w:cs="Arial" w:eastAsia="Arial" w:hAnsi="Arial"/>
          <w:sz w:val="18"/>
          <w:szCs w:val="18"/>
          <w:i w:val="1"/>
          <w:iCs w:val="1"/>
          <w:color w:val="auto"/>
        </w:rPr>
        <w:t>GLA</w:t>
      </w:r>
      <w:r>
        <w:rPr>
          <w:rFonts w:ascii="Arial" w:cs="Arial" w:eastAsia="Arial" w:hAnsi="Arial"/>
          <w:sz w:val="18"/>
          <w:szCs w:val="18"/>
          <w:color w:val="auto"/>
        </w:rPr>
        <w:t xml:space="preserve"> gene which encodes for the alpha-galactosidase A (“AGA”) enzyme, that result in the body’s inability to produce sufficient AGA enzyme activity, causing the accumulation of toxic levels of sphingolipids, such as the substrate globotriaosylceramide-3 (“lyso-Gb3”), in critical organs, including the heart, kidney and blood vessels. The cardiomyopathy in Fabry disease is the leading cause of death, accounting for 75% of deaths. Substrate accumulation in the heart can lead to life-threatening heart failure, arrhythmias, and vascular blockages. Fabry disease is progressive and fatal, with an average life expectancy of approximately 50 years. Progression of the disease causes significant reduction in the quality of life and significant economic burden associated with greater patient needs for supportive care.</w:t>
      </w:r>
    </w:p>
    <w:p>
      <w:pPr>
        <w:spacing w:after="0" w:line="20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 xml:space="preserve">Annual worldwide sales of Fabry medicines were approximately $1.8 billion in 2021. We estimate the potential initial addressable Fabry patient population in the United States and EU-5 to be up to 36,000 individuals, 57% of whom suffer from Classic Fabry disease. Of note, we estimate the prevalence of individuals with Fabry disease-associated </w:t>
      </w:r>
      <w:r>
        <w:rPr>
          <w:rFonts w:ascii="Arial" w:cs="Arial" w:eastAsia="Arial" w:hAnsi="Arial"/>
          <w:sz w:val="18"/>
          <w:szCs w:val="18"/>
          <w:i w:val="1"/>
          <w:iCs w:val="1"/>
          <w:color w:val="auto"/>
        </w:rPr>
        <w:t>GLA</w:t>
      </w:r>
      <w:r>
        <w:rPr>
          <w:rFonts w:ascii="Arial" w:cs="Arial" w:eastAsia="Arial" w:hAnsi="Arial"/>
          <w:sz w:val="18"/>
          <w:szCs w:val="18"/>
          <w:color w:val="auto"/>
        </w:rPr>
        <w:t xml:space="preserve"> mutations in the United States and EU-5 falls between 50,000 and 70,000 in the United States and the EU-5 based on recent newborn screening. Pre-treatment antibody titers to genetic medicines, including 4D-310, may result in a reduction in the addressable patient population, if antibody titers at baseline are shown to be predictive of treatment response and/or tolerability.</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current treatment paradigm for Fabry disease is bi-weekly infusion of AGA enzyme, a class of therapies broadly referred to as enzyme replacement therapies (“ERT”) and/or small molecule chaperone therapy designed to bind to and stabilize a patient’s own endogenous target protein. Fabrazyme, an ERT, received accelerated regulatory approval in 2003 in the United States based on improvements in a kidney interstitial capillary substrate biopsy endpoint and received full approval in 2021. Galafold, a chaperone therapy, received approval in the EU in 2016 and U.S. in 2018.</w:t>
      </w:r>
    </w:p>
    <w:p>
      <w:pPr>
        <w:spacing w:after="0" w:line="20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AGA is normally produced within target cells themselves, but ERTs reportedly lack efficient uptake by parenchymal cells including cardiomyocytes. As a result, patients remain at risk of cardiac complications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2" w:name="page23"/>
    <w:bookmarkEnd w:id="22"/>
    <w:p>
      <w:pPr>
        <w:jc w:val="both"/>
        <w:spacing w:after="0" w:line="245" w:lineRule="auto"/>
        <w:rPr>
          <w:sz w:val="20"/>
          <w:szCs w:val="20"/>
          <w:color w:val="auto"/>
        </w:rPr>
      </w:pPr>
      <w:r>
        <w:rPr>
          <w:rFonts w:ascii="Arial" w:cs="Arial" w:eastAsia="Arial" w:hAnsi="Arial"/>
          <w:sz w:val="18"/>
          <w:szCs w:val="18"/>
          <w:color w:val="auto"/>
        </w:rPr>
        <w:t>including death. Finally, antibodies develop to AGA in the majority of Classic Fabry disease patients after ERT and can further worsen clinical outcomes.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we believe cardiac-targeted treatment of Fabry disease is still an unmet medical need.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Solution</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developing 4D-310 for the treatment of Fabry disease cardiomyopathy. 4D-310 is designed for an efficient, single low dose IV administration to patients with classic and late-onset disease, including those who have previously received ERT. 4D-310 is comprised of C102 and a codon-optimized GLA transgene under control of a ubiquitous promoter. 4D-310 is designed to generate AGA activity via intracellular production within diseased cells including cardiomyocytes and to generate plasma AGA activity, potentially resulting in cross correction of a broad range of organs.</w:t>
      </w:r>
    </w:p>
    <w:p>
      <w:pPr>
        <w:spacing w:after="0" w:line="205" w:lineRule="exact"/>
        <w:rPr>
          <w:sz w:val="20"/>
          <w:szCs w:val="20"/>
          <w:color w:val="auto"/>
        </w:rPr>
      </w:pPr>
    </w:p>
    <w:p>
      <w:pPr>
        <w:jc w:val="both"/>
        <w:ind w:right="20" w:firstLine="644"/>
        <w:spacing w:after="0" w:line="238" w:lineRule="auto"/>
        <w:rPr>
          <w:sz w:val="20"/>
          <w:szCs w:val="20"/>
          <w:color w:val="auto"/>
        </w:rPr>
      </w:pPr>
      <w:r>
        <w:rPr>
          <w:rFonts w:ascii="Arial" w:cs="Arial" w:eastAsia="Arial" w:hAnsi="Arial"/>
          <w:sz w:val="18"/>
          <w:szCs w:val="18"/>
          <w:color w:val="auto"/>
        </w:rPr>
        <w:t>We believe 4D-310 has the potential for “mutation independent” treatment of both “classic” (early onset, severe) as well as late-onset Fabry disease, both of which are often associated with cardiomyopathy. We believe reducing substrate in cardiomyocytes would represent a strategic advantage and significant opportunity in the treatment of Fabry-associated cardiomyopathy, which we believe remains a significant unmet medical need and is a leading cause of death in patients with Fabry disease.</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addition, AGA produced by 4D-310 within target cells themselves will not be exposed to serum antibodies against AGA. These antibodies develop following ERT in approximately 80% of classic Fabry disease patients. We therefore have the potential to treat this patient population via intracellular production of AGA, in contrast to approaches that rely exclusively on delivery of AGA through the bloodstream.</w:t>
      </w:r>
    </w:p>
    <w:p>
      <w:pPr>
        <w:spacing w:after="0" w:line="20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Finally, single dose genetic medicine treatment with 4D-310 may obviate biweekly ERT infusions in these patients, and/or every other day small molecule medicines for patients amenable to AGA chaperone therapy.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Competition and Differentiation: AAV and Genetic Medicines for Fabry Disease</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Companies are developing liver-expressing AAV genetic medicines for Fabry disease using conventional AAVs designed for expression from the liver only using liver-specific promoters. These product candidates are designed for the production and secretion of AGA enzyme for activity in the blood, as with ERT, but with more stable blood levels than achieved with intermittent ERT infusions. When administered as ERT in patients, the AGA protein has not been shown definitively to enter cardiomyocytes or other affected parenchymal cells. It is therefore unclear whether genetic medicine-induced production of AGA from the liver, with secretion into the bloodstream, would result in effective correction in cardiac muscle cells or other affected parenchymal cells such as in the kidney.</w:t>
      </w:r>
    </w:p>
    <w:p>
      <w:pPr>
        <w:spacing w:after="0" w:line="20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4D-310 is the only genetic medicine candidate designed specifically to express the AGA enzyme in cardiac tissues, as well as in other affected tissues in these patients, potentially addressing a major unmet medical need.</w:t>
      </w:r>
    </w:p>
    <w:p>
      <w:pPr>
        <w:spacing w:after="0" w:line="19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believe 4D-310 has the potential to be differentiated from approved agents and those in clinical development, to our knowledge, on the basis of four features:</w:t>
      </w:r>
    </w:p>
    <w:p>
      <w:pPr>
        <w:spacing w:after="0" w:line="90" w:lineRule="exact"/>
        <w:rPr>
          <w:sz w:val="20"/>
          <w:szCs w:val="20"/>
          <w:color w:val="auto"/>
        </w:rPr>
      </w:pPr>
    </w:p>
    <w:p>
      <w:pPr>
        <w:jc w:val="both"/>
        <w:ind w:left="1020" w:hanging="50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Targeted expression in cardiomyocytes</w:t>
      </w:r>
      <w:r>
        <w:rPr>
          <w:rFonts w:ascii="Arial" w:cs="Arial" w:eastAsia="Arial" w:hAnsi="Arial"/>
          <w:sz w:val="18"/>
          <w:szCs w:val="18"/>
          <w:color w:val="auto"/>
        </w:rPr>
        <w:t>: An IV dose of 4D-310 is designed to generate high AGA levels directly within muscle cells throughout the heart. Cells within the kidney, blood vessels and small intestine also produce intracellular AGA after 4D-310 treatment, albeit at significantly lower levels than in the heart.</w:t>
      </w:r>
    </w:p>
    <w:p>
      <w:pPr>
        <w:spacing w:after="0" w:line="93"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One-time therapy</w:t>
      </w:r>
      <w:r>
        <w:rPr>
          <w:rFonts w:ascii="Arial" w:cs="Arial" w:eastAsia="Arial" w:hAnsi="Arial"/>
          <w:sz w:val="18"/>
          <w:szCs w:val="18"/>
          <w:color w:val="auto"/>
        </w:rPr>
        <w:t>: Unlike AGA chaperones that require dosing every other day for a patient’s life, or IV ERT every two weeks for life, 4D-310 is designed as a single dose therapy.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3" w:name="page24"/>
    <w:bookmarkEnd w:id="23"/>
    <w:p>
      <w:pPr>
        <w:ind w:left="1020" w:hanging="504"/>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AGA mutation-independent biologic activity</w:t>
      </w:r>
      <w:r>
        <w:rPr>
          <w:rFonts w:ascii="Arial" w:cs="Arial" w:eastAsia="Arial" w:hAnsi="Arial"/>
          <w:sz w:val="18"/>
          <w:szCs w:val="18"/>
          <w:color w:val="auto"/>
        </w:rPr>
        <w:t>: Unlike AGA chaperones that are only effective against specific AGA mutations present in a minority of Fabry patients, 4D-310 is designed to treat patients with Fabry disease with any AGA mutation.</w:t>
      </w:r>
    </w:p>
    <w:p>
      <w:pPr>
        <w:spacing w:after="0" w:line="89" w:lineRule="exact"/>
        <w:rPr>
          <w:rFonts w:ascii="Arial" w:cs="Arial" w:eastAsia="Arial" w:hAnsi="Arial"/>
          <w:sz w:val="18"/>
          <w:szCs w:val="18"/>
          <w:color w:val="auto"/>
        </w:rPr>
      </w:pPr>
    </w:p>
    <w:p>
      <w:pPr>
        <w:jc w:val="both"/>
        <w:ind w:left="1020" w:hanging="504"/>
        <w:spacing w:after="0" w:line="23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Resistance to AGA antibodies</w:t>
      </w:r>
      <w:r>
        <w:rPr>
          <w:rFonts w:ascii="Arial" w:cs="Arial" w:eastAsia="Arial" w:hAnsi="Arial"/>
          <w:sz w:val="18"/>
          <w:szCs w:val="18"/>
          <w:color w:val="auto"/>
        </w:rPr>
        <w:t>: We believe that 4D-310 may be able to treat patients that have anti-AGA antibodies. Those antibodies develop in approximately 80% of classic Fabry disease patients (early onset, severe disease) treated with ERT. This is in contrast to competing approaches that rely exclusively on AGA delivery through the bloodstream, that may be inhibited by these antibodies since AGA comes into contact with anti-AGA antibodies in the bloodstream that may inhibit delivery to target organs. Unlike ERT and gene therapies that are designed to rely exclusively on AGA production and secretion from the liver into the blood, 4D-310 is designed to include intracellular AGA production in target tissues themselves, thus avoiding AGA antibody contact and inhibition. We therefore plan to evaluate the treatment of patients with pre-existing AGA antibodies, potentially resulting in a larger addressable patient population.</w:t>
      </w:r>
    </w:p>
    <w:p>
      <w:pPr>
        <w:spacing w:after="0" w:line="174"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i w:val="1"/>
          <w:iCs w:val="1"/>
          <w:color w:val="auto"/>
        </w:rPr>
        <w:t>The target product profile for 4D-310 is compared to competing technologies below. Many aspects of this profile have been supported by data generated to date with either the C102 vector or with 4D-310 itself.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45720</wp:posOffset>
            </wp:positionV>
            <wp:extent cx="5342890" cy="2431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289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Preclinical Animal Model Pharmacology and Toxicology Studies</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completed an IND-enabling GLP toxicology and biodistribution study of 4D-310 in normal mice. No meaningful toxicity was reported at doses up to 1.5E14 vg/kg, based both on in-life and histopathology assessments. This dose is 300% of the highest planned dose in our Phase 1/2 clinical trial. 4D-310-mediated AGA expression and/or AGA enzyme activity was observed in all target tissues tested, including heart, kidney, blood vessels, small intestine and blood.</w:t>
      </w:r>
    </w:p>
    <w:p>
      <w:pPr>
        <w:spacing w:after="0" w:line="2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Pharmacology studies have been completed in Fabry disease knock-out mice. We observed that a single IV treatment with 4D-310 resulted in high stable blood concentrations and durable AGA production in target tissues, including the heart and kidney, and that toxic lyso-Gb3 metabolites were reduced significantly in all evaluated target tissues versus vehicle control. Efficacy was demonstrated with doses as low as 1E12 vg/kg. No adverse findings were observed in these knock-out animals at doses as high as 5E13 vg/kg.</w:t>
      </w:r>
    </w:p>
    <w:p>
      <w:pPr>
        <w:spacing w:after="0" w:line="204"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7"/>
          <w:szCs w:val="17"/>
          <w:color w:val="auto"/>
        </w:rPr>
        <w:t xml:space="preserve">We performed a dose-ranging toxicity and biodistribution study in primates. Doses of 3E12, 1E13 and 5E13 vg/kg were well-tolerated and resulted in AGA activity concentrations in blood equal to </w:t>
      </w:r>
      <w:r>
        <w:rPr>
          <w:rFonts w:ascii="Arial" w:cs="Arial" w:eastAsia="Arial" w:hAnsi="Arial"/>
          <w:sz w:val="17"/>
          <w:szCs w:val="17"/>
          <w:i w:val="1"/>
          <w:iCs w:val="1"/>
          <w:color w:val="auto"/>
        </w:rPr>
        <w:t>1.9-fold, 3.4 -fold and 70-fold</w:t>
      </w:r>
      <w:r>
        <w:rPr>
          <w:rFonts w:ascii="Arial" w:cs="Arial" w:eastAsia="Arial" w:hAnsi="Arial"/>
          <w:sz w:val="17"/>
          <w:szCs w:val="17"/>
          <w:color w:val="auto"/>
        </w:rPr>
        <w:t xml:space="preserve"> higher than pretreatment blood levels, respectively, within 14 days after treatment. NHPs used in this study were healthy and had normal baseline levels of AGA activity. No meaningful toxicity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24" w:name="page25"/>
    <w:bookmarkEnd w:id="24"/>
    <w:p>
      <w:pPr>
        <w:jc w:val="both"/>
        <w:spacing w:after="0"/>
        <w:rPr>
          <w:sz w:val="20"/>
          <w:szCs w:val="20"/>
          <w:color w:val="auto"/>
        </w:rPr>
      </w:pPr>
      <w:r>
        <w:rPr>
          <w:rFonts w:ascii="Arial" w:cs="Arial" w:eastAsia="Arial" w:hAnsi="Arial"/>
          <w:sz w:val="18"/>
          <w:szCs w:val="18"/>
          <w:color w:val="auto"/>
        </w:rPr>
        <w:t>was noted clinically or with blood testing. Histopathology assessments were normal. Tissue analyses demonstrated dose-related 4D-310 genome delivery, RNA expression and AGA activity throughout the heart, especially within the left ventricle which is the key target tissue. AGA expression and enzymatic activity were also demonstrated within the kidney.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Clinical Development: Phase 1/2 INGLAXA Clinical Trials for Fabry Disease Cardiomyopathy</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currently studying 4D-310 in two on-going Phase 1/2 dose-escalation and dose-expansion clinical trials (United States: INGLAXA-1 and Asia-Pacific: INGLAXA-2) assessing a single intravenous dose of 4D-310, 4DMT’s customized and evolved C102 vector-based product candidate designed for Fabry disease cardiomyopathy. The primary endpoints of the trials are safety and tolerability. Key exploratory endpoints include markers of biologic activity in the heart, including cardiac imaging parameters and quality of life. In the Asia-Pacific study, cardiac biopsies will also be assessed.</w:t>
      </w:r>
    </w:p>
    <w:p>
      <w:pPr>
        <w:spacing w:after="0" w:line="205" w:lineRule="exact"/>
        <w:rPr>
          <w:sz w:val="20"/>
          <w:szCs w:val="20"/>
          <w:color w:val="auto"/>
        </w:rPr>
      </w:pPr>
    </w:p>
    <w:p>
      <w:pPr>
        <w:jc w:val="both"/>
        <w:ind w:firstLine="696"/>
        <w:spacing w:after="0" w:line="223" w:lineRule="auto"/>
        <w:rPr>
          <w:sz w:val="20"/>
          <w:szCs w:val="20"/>
          <w:color w:val="auto"/>
        </w:rPr>
      </w:pPr>
      <w:r>
        <w:rPr>
          <w:rFonts w:ascii="Arial" w:cs="Arial" w:eastAsia="Arial" w:hAnsi="Arial"/>
          <w:sz w:val="18"/>
          <w:szCs w:val="18"/>
          <w:color w:val="auto"/>
        </w:rPr>
        <w:t>On January 9, 2023, we reported program updates and interim clinical data updates from the 4D-310 INGLAXA trials. The Company announced that no additional patients will be enrolled in the current clinical trials pending potential amendments, and that the program will be evaluated in the second half of 2023 after 12-month clinical data are obtained on all six of the currently enrolled patients, including on-going safety and cardiac endpoints for a potential pivotal trial as recommended by the FDA: peak VO</w:t>
      </w:r>
      <w:r>
        <w:rPr>
          <w:rFonts w:ascii="Arial" w:cs="Arial" w:eastAsia="Arial" w:hAnsi="Arial"/>
          <w:sz w:val="24"/>
          <w:szCs w:val="24"/>
          <w:color w:val="auto"/>
          <w:vertAlign w:val="subscript"/>
        </w:rPr>
        <w:t>2</w:t>
      </w:r>
      <w:r>
        <w:rPr>
          <w:rFonts w:ascii="Arial" w:cs="Arial" w:eastAsia="Arial" w:hAnsi="Arial"/>
          <w:sz w:val="18"/>
          <w:szCs w:val="18"/>
          <w:color w:val="auto"/>
        </w:rPr>
        <w:t xml:space="preserve"> by cardiopulmonary exercise test (CPET),</w:t>
      </w:r>
    </w:p>
    <w:p>
      <w:pPr>
        <w:spacing w:after="0" w:line="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quality-of-life by Kansas City Cardiomyopathy Questionnaire (KCCQ), and left ventricular contractility by global longitudinal strain (GLS) by echocardiography. The Company reported improvements in all cardiac endpoints listed above in patients who reached 12 months follow up as of the data cutoff of December 5, 2022 (n=3), and the single available cardiac biopsy was positive for widespread genome delivery and transgene expression from 4D-310. Additionally, the Company reported 3 instances of transient acute atypical hemolytic uremic syndrome (aHUS) in which resolution started within ~1-4 days. One case of aHUS was determined to be a grade 4 dose limiting toxicity (DLT), which led to led us to voluntarily pause enrollment on our two INGLAXA trials in January 2023. Otherwise, 4D-310 was generally well-tolerated with no liver, heart, or dorsal root ganglia (DRG) toxicity observed.</w:t>
      </w:r>
    </w:p>
    <w:p>
      <w:pPr>
        <w:spacing w:after="0" w:line="20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Consistent with the Company’s plans for the program as noted above and as communicated to the FDA, the FDA subsequently notified the Company of a Clinical Hold pursuant to CFR §312.42 (b)(iv). In its notification, the FDA acknowledged the Company’s paused enrollment worldwide, and directed the Company to continue long term follow up of treated patients under the current IND. The IND for 4D-310 remains open and active.</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On February 22, 2023, we presented interim Phase 1/2 data from the INGLAXA clinical trials in conjunction with the WORLD</w:t>
      </w:r>
      <w:r>
        <w:rPr>
          <w:rFonts w:ascii="Arial" w:cs="Arial" w:eastAsia="Arial" w:hAnsi="Arial"/>
          <w:sz w:val="18"/>
          <w:szCs w:val="18"/>
          <w:i w:val="1"/>
          <w:iCs w:val="1"/>
          <w:color w:val="auto"/>
        </w:rPr>
        <w:t>Symposium</w:t>
      </w:r>
      <w:r>
        <w:rPr>
          <w:rFonts w:ascii="Arial" w:cs="Arial" w:eastAsia="Arial" w:hAnsi="Arial"/>
          <w:sz w:val="18"/>
          <w:szCs w:val="18"/>
          <w:color w:val="auto"/>
        </w:rPr>
        <w:t>, including results of a detailed investigation of the grade 4 DLT aHUS event. Regarding the instance of grade 4/DLT aHUS, our findings indicated that complement activation, which drives aHUS, was present before 4D-310 dosing in this patient. In addition, we observed rapid anti-AAV capsid IgM antibody rise, capsid binding, and complement pathway activation, a known class effect of IV administered AAV.</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i w:val="1"/>
          <w:iCs w:val="1"/>
          <w:color w:val="auto"/>
        </w:rPr>
        <w:t>Meaningful Improvement in All Five Cardiac Endpoints Compared to ERT Natural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214630</wp:posOffset>
            </wp:positionV>
            <wp:extent cx="5342890" cy="2474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2890" cy="247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44"/>
        <w:spacing w:after="0" w:line="225" w:lineRule="auto"/>
        <w:rPr>
          <w:sz w:val="20"/>
          <w:szCs w:val="20"/>
          <w:color w:val="auto"/>
        </w:rPr>
      </w:pPr>
      <w:r>
        <w:rPr>
          <w:rFonts w:ascii="Arial" w:cs="Arial" w:eastAsia="Arial" w:hAnsi="Arial"/>
          <w:sz w:val="18"/>
          <w:szCs w:val="18"/>
          <w:color w:val="auto"/>
        </w:rPr>
        <w:t>As of January 2023, enrollment was closed. Currently enrolled participants will continue with scheduled study assessments and clinical data will be evaluated after all enrolled participants complete 12 months of follow-up. To mitigate the risk of aHUS, we intend to implement the highly effective rituximab/sirolimus immunosuppressive regimen and exclude patients with pre-dosing complement activation. We believe alignment with FDA on these proposed protocol amendments will address FDA feedback with respect to the clinical hold. In addition, we obtained alignment with FDA on endpoints for a potential pivotal trial, including peak VO</w:t>
      </w:r>
      <w:r>
        <w:rPr>
          <w:rFonts w:ascii="Arial" w:cs="Arial" w:eastAsia="Arial" w:hAnsi="Arial"/>
          <w:sz w:val="24"/>
          <w:szCs w:val="24"/>
          <w:color w:val="auto"/>
          <w:vertAlign w:val="subscript"/>
        </w:rPr>
        <w:t>2</w:t>
      </w:r>
      <w:r>
        <w:rPr>
          <w:rFonts w:ascii="Arial" w:cs="Arial" w:eastAsia="Arial" w:hAnsi="Arial"/>
          <w:sz w:val="18"/>
          <w:szCs w:val="18"/>
          <w:color w:val="auto"/>
        </w:rPr>
        <w:t xml:space="preserve"> (CPET), quality of life (KCCQ), and left</w:t>
      </w:r>
    </w:p>
    <w:p>
      <w:pPr>
        <w:spacing w:after="0" w:line="3" w:lineRule="exact"/>
        <w:rPr>
          <w:sz w:val="20"/>
          <w:szCs w:val="20"/>
          <w:color w:val="auto"/>
        </w:rPr>
      </w:pPr>
    </w:p>
    <w:p>
      <w:pPr>
        <w:ind w:right="1400"/>
        <w:spacing w:after="0" w:line="476" w:lineRule="auto"/>
        <w:rPr>
          <w:sz w:val="20"/>
          <w:szCs w:val="20"/>
          <w:color w:val="auto"/>
        </w:rPr>
      </w:pPr>
      <w:r>
        <w:rPr>
          <w:rFonts w:ascii="Arial" w:cs="Arial" w:eastAsia="Arial" w:hAnsi="Arial"/>
          <w:sz w:val="18"/>
          <w:szCs w:val="18"/>
          <w:color w:val="auto"/>
        </w:rPr>
        <w:t xml:space="preserve">ventricular function (global longitudinal strain/echocardiography). We also have alignment with FDA on Phase 3 CMC plans. </w:t>
      </w:r>
      <w:r>
        <w:rPr>
          <w:rFonts w:ascii="Arial" w:cs="Arial" w:eastAsia="Arial" w:hAnsi="Arial"/>
          <w:sz w:val="18"/>
          <w:szCs w:val="18"/>
          <w:b w:val="1"/>
          <w:bCs w:val="1"/>
          <w:color w:val="auto"/>
        </w:rPr>
        <w:t>Competition</w:t>
      </w:r>
    </w:p>
    <w:p>
      <w:pPr>
        <w:spacing w:after="0" w:line="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are aware of several companies focused on developing genetic medicines in various indications as well as companies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consider our most direct competitors with respect to 4D-150 for the treatment of wet AMD and DME to be Eylea (aflibercept) from Regeneron Pharmaceuticals Inc., which is the current wet AMD standard of care, and a combination of antibody-based programs including, but not limited to, Lucentis, Susvimo, and Vabysmo from Roche, KSI-301 from Kodiak Sciences Inc., and OPT-302 from Opthea Limited, and AAV-based gene therapy based programs including RGX-314 from REGENXBIO (Phase 3 subretinal, Phase 2 suprachoroidal), ADVM-022 from Adverum Biotechnologies (Phase 2, discontinued in diabetic populations), and EXG102-031 from Exegenesis Bio (Phase 1). We are also aware of mid-stage sustained release anti-VEGF tyrosine kinase inhibitor programs at Ocular Therapeutix, EyePoint Pharmaceuticals, and Clearside Biomedical.</w:t>
      </w:r>
    </w:p>
    <w:p>
      <w:pPr>
        <w:spacing w:after="0" w:line="20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consider our most direct competitors with respect to 4D-175 for the treatment of Geographic Atrophy to be Apellis’s C3 inhibitor SYFOVRE (approved) and Iveric’s C5 inhibitor ACP (filed for marketing approval with the FDA). We are also aware that Novartis Therapeutics and Janssen Pharmaceuticals have complement inhibitor gene therapies and that AGTC and Gemini Therapeutics each have a research program on complement factor H gene therapy.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6" w:name="page27"/>
    <w:bookmarkEnd w:id="26"/>
    <w:p>
      <w:pPr>
        <w:jc w:val="both"/>
        <w:ind w:firstLine="701"/>
        <w:spacing w:after="0"/>
        <w:rPr>
          <w:sz w:val="20"/>
          <w:szCs w:val="20"/>
          <w:color w:val="auto"/>
        </w:rPr>
      </w:pPr>
      <w:r>
        <w:rPr>
          <w:rFonts w:ascii="Arial" w:cs="Arial" w:eastAsia="Arial" w:hAnsi="Arial"/>
          <w:sz w:val="18"/>
          <w:szCs w:val="18"/>
          <w:color w:val="auto"/>
        </w:rPr>
        <w:t>We consider our most direct competitors with respect to 4D-710 for the treatment of cystic fibrosis lung disease to be Vertex, which has several approved CFTR modulators, as well as other companies in preclinical/early-clinical development of cystic fibrosis products, including Vertex, Krystal Biotech, and Spirovant Sciences.</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consider our most direct competitors with respect to 4D-725 for the treatment of alpha-1 antitrypsin deficiency lung disease to be Vertex (AAT correctors in Phase 2 and Phase 1), Krystal Biotech (lung directed gene therapy in preclinical development), Beam (base editing in preclinical development), and Wave Life Sciences/GSK (RNA editing in preclinical development).</w:t>
      </w:r>
    </w:p>
    <w:p>
      <w:pPr>
        <w:spacing w:after="0" w:line="20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consider our most direct competitors with respect to 4D-310 for the treatment of Fabry disease to be Amicus Therapeutics, which has Galafold (migalastat) approved as a small molecule chaperone for specific mutations, and Sangamo, which is in Phase 1/2 development of AAV2/6-based isaralgagene civaparvovec. Other competitors include Sanofi Genzyme, Takeda, and Protalix, all of which either commercialize or develop enzyme replacement therapy for the treatment of Fabry disease.</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With respect to 4D-125 for the treatment of XLRP, we consider our most direct AAV gene therapy competitors to be as follows: Applied Genetic Technologies Corporation (AGTC-501 administered by subretinal surgery in a Phase 2 clinical trial) and Janssen Pharmaceuticals / MeiraGTx (botaretigene sparoparvovec administered by subretinal surgery enrolling a Phase 3 clinical trial).</w:t>
      </w:r>
    </w:p>
    <w:p>
      <w:pPr>
        <w:spacing w:after="0" w:line="20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With respect to 4D-110 for the treatment of choroideremia, we currently believe there are no gene therapies in development for this disease.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CMC Strategy</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order to fulfill our strategy to maximize the robustness and internal control of our manufacturing processes from discovery and process development through to clinical-grade current Good Manufacturing Practices (“cGMP”) manufacturing, we have designed and are continually developing and scaling our in-house manufacturing platform for both GMP and non-GMP manufacturing. While many companies in the AAV genetic medicine field outsource their process development and manufacturing to other companies or academic manufacturing centers, in contrast, our manufacturing processes were developed internally using internal technology transfers from our own process development labs. Our current in-house manufacturing capabilities include GMP manufacturing (upstream, downstream and fill/finish), production capabilities for clinical trials, IND-enabling GLP toxicology studies, and research candidate production. We also collaborate with contract manufacturing organizations (“CMOs”) to supplement our internal capacity.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cGMP Capabilities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team has extensive experience with the manufacturing and analytical testing of numerous unique AAV capsids. Our team has internally manufactured over 200 unique AAV vectors, including both proprietary evolved 4DMT capsid variants and naturally occurring capsids. Our team has manufactured over 300 total lots of AAV vectors for research or clinical use. This total also includes multiple lots of product candidate material for GLP toxicology and biodistribution studies. We have in-house cGMP manufacturing capabilities for clinical trial material production. Our manufacturing team has completed and released 18 lots of clinical trial material for our five product candidates in clinical development. Leveraging internal testing capabilities in addition to qualified contract testing laboratories, we fully test and release our GLP and GMP lots for use in toxicology and clinical trials, respectively. We have developed and qualified assays for characterization, in-process testing, and release and stability testing of our internally and externally manufactured proprietary AAV vectors.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Process Development Capabilities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use robust, scalable and transferable manufacturing unit operations throughout both the vector characterization process and product development, which are both platform-specific and product-specific. The upstream manufacturing step involves triple plasmid transfections in an adherent HEK293 mammalian production cell line. Downstream manufacturing steps for purification and concentration include multiple orthogonal column chromatography steps and tangential flow filtration. The downstream purification columns used in our process are from stable sources including General Electric. Using internally developed manufacturing processes and testing, we characterize our novel capsids and payloads. In addition, leveraging internal expertise and capabilities, we package and test our novel vectors with payloads using internally developed manufacturing processes, including both adherent and suspension processes.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Facilities</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manufacturing facilities are on site at company headquarters in Emeryville, California and include process development labs, an analytical development lab, and a cGMP manufacturing facility. These manufacturing facilities are also designed for production of material for GLP toxicology and biodistribution studies. In addition, in 2022, we completed construction of a second manufacturing facility to enable commercial-scale lot sizes under cGMP. Our cGMP facilities are able to provide additional capacity for production of Phase 1 through Phase 3 clinical trials material. We expect to utilize commercial-scale bioreactors that are designed to manufacture higher titer clinical trial material lots. Our manufacturing facilities are also designed for production of material for GLP toxicology and biodistribution studies.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Team</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team of approximately 40 highly trained individuals is led by our President and Chief Operating Officer, Dr. Fred Kamal, and includes Ph.D. scientists. Collectively, they have significant experience in viral vector manufacturing, chemistry-manufacturing-controls (“CMC”), regulatory affairs, analytical and process development, and quality assurance and controls. As of February 2023, our team had submitted 6 INDs, all of which have been granted clearance by the U.S. FDA, enabling our clinical candidates to advance to Phase 1/2 clinical development. Our team also has experience prior to 4DMT with manufacturing multiple viral vectors from preclinical studies through to multiple Phase 3 trials. For example, Dr. Kamal helped to write and compile the AAV gene therapy Biologics License Application (BLA) for Zolgensma ("Novartis"), the first AAV gene therapy approved for intravenous administration in humans.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product candidates,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In particular, our patent strategy includes the filing of patent applications covering unique gene sequences selected through our Therapeutic Vector Evolution process. We also rely on trade secrets, know-how, continuing technological innovation and potential in-licensing opportunities to develop and maintain our proprietary position.</w:t>
      </w:r>
    </w:p>
    <w:p>
      <w:pPr>
        <w:spacing w:after="0" w:line="20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product and lead optimization candidates were discovered by us utilizing our proprietary technology. We have filed several non-provisional and provisional patent applications, all owned by us, relating to our product and lead optimization candidates in the United States and certain foreign countries and through the World Intellectual Property Organization that are directed to compositions of matter, dosage unit forms, methods of treatment, and medical uses. We have also licensed several non-provisional patent applications, granted patents and international patent applications relating to our targeted and evolved vector, A101, which is used in 4D-710 and 4D-725, and to other AAV-based technologies.</w:t>
      </w:r>
    </w:p>
    <w:p>
      <w:pPr>
        <w:spacing w:after="0" w:line="203" w:lineRule="exact"/>
        <w:rPr>
          <w:sz w:val="20"/>
          <w:szCs w:val="20"/>
          <w:color w:val="auto"/>
        </w:rPr>
      </w:pPr>
    </w:p>
    <w:p>
      <w:pPr>
        <w:jc w:val="both"/>
        <w:ind w:firstLine="698"/>
        <w:spacing w:after="0" w:line="245" w:lineRule="auto"/>
        <w:rPr>
          <w:sz w:val="20"/>
          <w:szCs w:val="20"/>
          <w:color w:val="auto"/>
        </w:rPr>
      </w:pPr>
      <w:r>
        <w:rPr>
          <w:rFonts w:ascii="Arial" w:cs="Arial" w:eastAsia="Arial" w:hAnsi="Arial"/>
          <w:sz w:val="18"/>
          <w:szCs w:val="18"/>
          <w:color w:val="auto"/>
        </w:rPr>
        <w:t>As of January 11, 2023, our solely owned patent portfolio includes ten granted U.S. patents and thirty-three granted foreign patents; each of these patents is expected to expire between May 2037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8" w:name="page29"/>
    <w:bookmarkEnd w:id="28"/>
    <w:p>
      <w:pPr>
        <w:jc w:val="both"/>
        <w:spacing w:after="0" w:line="236" w:lineRule="auto"/>
        <w:rPr>
          <w:sz w:val="20"/>
          <w:szCs w:val="20"/>
          <w:color w:val="auto"/>
        </w:rPr>
      </w:pPr>
      <w:r>
        <w:rPr>
          <w:rFonts w:ascii="Arial" w:cs="Arial" w:eastAsia="Arial" w:hAnsi="Arial"/>
          <w:sz w:val="18"/>
          <w:szCs w:val="18"/>
          <w:color w:val="auto"/>
        </w:rPr>
        <w:t>April 2041, excluding any additional term from patent term adjustment or patent term extension if appropriate maintenance and other governmental fees are paid. Our solely owned patent portfolio also includes ten pending U.S. non-provisional applications and ninety pending foreign applications. We expect that United States and European patents, if issued from pending applications in our solely owned portfolio, would expire between May 2037 and August 2041, excluding any additional term from patent term adjustment or patent term extension if appropriate maintenance and other governmental fees are paid. Additional patent term for the presently issued or later issued U.S. patents may be awarded as a result of the patent term extension provision of the Hatch-Waxman Amendments of 1984. Similarly, in the European Union member countries, a supplementary protection certificate, if obtained, provides up to an additional five years of market exclusivity. Our solely owned patent portfolio also includes two pending U.S. provisional patent applications.</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other jurisdictions (currently, Australia, Bahrain, Brazil, Canada, Chile, China, Colombia, Costa Rica, Egypt, India, Indonesia, Iran, Israel, Japan, Korea, Kuwait, Malaysia, Mexico, New Zealand, Oman, Peru, Philippines, Qatar, Russia, Saudi Arabia, Singapore, South Africa, Taiwan, Thailand, United Arab Emirates, Ukraine, and Vietnam), patents, if issued on pending applications in our solely owned patent portfolio, where applicable, relating to our product and lead optimization candidates, including composition of matter, dosage unit form, method of treatment and medical use, are expected to expire between May 2037 and August 2041, if the appropriate maintenance, renewal, annuity, and other government fees are paid. These patents and patent applications (if applicable), depending on the national laws, may benefit from extension of patent term in individual countries if regulatory approval of any of our product candidates is obtained in those countries. For example, in Japan, the term of a patent may be extended by a maximum of five years in certain circumstances.</w:t>
      </w:r>
    </w:p>
    <w:p>
      <w:pPr>
        <w:spacing w:after="0" w:line="206"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As of January 11, 2023, our in-licensed patent portfolio includes five granted U.S. patents and twenty-one granted foreign patents; each of these patents is expected to expire between June 2024 and May 2036, excluding any additional term from patent term adjustment or patent term extension if appropriate maintenance and other governmental fees are paid. Our in-licensed patent portfolio also includes five pending U.S. non-provisional patent applications and fourteen pending foreign patent applications. We expect that United States and European patents, if issued from applications in our in-licensed portfolio would expire between June 2024 and June 2038, excluding any additional term from patent term adjustment or patent term extension if appropriate maintenance and other governmental fees are paid.</w:t>
      </w:r>
    </w:p>
    <w:p>
      <w:pPr>
        <w:spacing w:after="0" w:line="20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other jurisdictions (currently, Australia, Brazil, Canada, China, Hong Kong, India, Japan, Korea and Mexico), patents, if issued on pending applications in our in-licensed patent portfolio, where applicable, relating to our product candidates, including composition of matter and various other patents, including dosage unit form, method-of-treatment and medical use patents are expected to expire between June 2024 and June 2038, if the appropriate maintenance, renewal, annuity, and other government fees are paid. These patents and patent applications (if applicable), depending on the national laws, may benefit from extension of patent term in individual countries if regulatory approval of any of our product or lead optimization candidates is obtained in those countries. For example, in Japan, the term of a patent may be extended by a maximum of five years in certain circumstances.</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effective for 20 years from the earliest effective non-provisional filing date. In addition, in certain instances, a patent term can be extended to recapture a portion of the U.S. Patent and Trademark Office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The actual protection afforded by a patent varies on a product by product basis, from country to country and depends upon many factors, including the type of patent,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29" w:name="page30"/>
    <w:bookmarkEnd w:id="29"/>
    <w:p>
      <w:pPr>
        <w:jc w:val="both"/>
        <w:spacing w:after="0" w:line="245" w:lineRule="auto"/>
        <w:rPr>
          <w:sz w:val="20"/>
          <w:szCs w:val="20"/>
          <w:color w:val="auto"/>
        </w:rPr>
      </w:pPr>
      <w:r>
        <w:rPr>
          <w:rFonts w:ascii="Arial" w:cs="Arial" w:eastAsia="Arial" w:hAnsi="Arial"/>
          <w:sz w:val="18"/>
          <w:szCs w:val="18"/>
          <w:color w:val="auto"/>
        </w:rPr>
        <w:t>scope of its coverage, the availability of regulatory-related extensions, the availability of legal remedies in a particular country and the validity and enforceability of the patent.</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also protect our trade secrets and other proprietary technology and processes, in part, by confidentiality and invention assignment agreements with our employees, consultants, scientific advisors and other contractors. These agreements may be breached, and we may not have adequate remedies for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commercial success will also depend in part on not infringing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failure to obtain a license to proprietary rights that we may require to develop or commercialize our future drugs may have a material adverse impact on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F. Hoffmann-La Roche Ltd and Hoffmann-La Roche Inc.</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November 2017, we entered into a Collaboration and License Agreement (the “2017 Roche Agreement”), with F. Hoffmann-La Roche Ltd and Hoffmann-La Roche Inc., collectively referred to as Roche. Under the Roche Agreement, we granted Roche an exclusive, sublicensable, worldwide license under certain intellectual property rights to research, develop, make, use, import, export, and sell products and constructs using our proprietary AAV vectors to treat ophthalmological diseases and disorders, excluding treatment and prevention of cancer and central nervous system conditions (but not retinal nerves) and delivery of DNA-directed RNA interference (the “Roche Field”).</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At the effective date of the 2017 Roche Agreement, choroideremia was designated a Roche product class and the 4D-110 product was licensed to Roche. We were responsible for conducting research and development services prior to pivotal clinical studies, and Roche was responsible for conducting subsequent development and commercialization activities. In addition, Roche agreed to pay for research and development services we incur at an agreed upon full-time employee rate and certain third party costs, excluding costs associated with the manufacturing work for choroideremia.</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Pursuant to the 2017 Roche Agreement, the Company received a non-refundable upfront payment of $21.0 million as consideration. In addition, the Company was entitled to contingent payments including (i) $ 1.0 million for each Roche nominated product beyond the first three, (ii) up to $30.0 million upon exercise of the option to convert a product the Company nominated and developed prior to pivotal clinical studies, (iii) development milestone payments of up to $ 223.0 million, of which $86.0 million related to choroideremia and the rest related to other licensed products; and (iv) sales-based milestones of up to $123.0 million in connection with licensed products. Through September 30, 2021, the Company received $10.0 million for development milestone payments that are non-refundable. The 2017 Roche Agreement also included prorochevisions that entitled the Company to receive royalty payments ranging from the mid-single digits to the mid-teens for the net sales of the licensed products, in each case subject to the reductions in accordance with the terms of the agreement.</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its accounting treatment, we identified a single combined performance obligation for the license, research services and participation in the joint steering committee and concluded that Roche’s option did not represent a material right. The transaction price and estimated period of performance were re-evaluated at each reporting period and adjusted as needed to reflect changes in the scope of the project, reimbursable expenses and other conditions affecting variable consideration.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0" w:name="page31"/>
    <w:bookmarkEnd w:id="30"/>
    <w:p>
      <w:pPr>
        <w:jc w:val="both"/>
        <w:ind w:firstLine="644"/>
        <w:spacing w:after="0" w:line="236" w:lineRule="auto"/>
        <w:rPr>
          <w:sz w:val="20"/>
          <w:szCs w:val="20"/>
          <w:color w:val="auto"/>
        </w:rPr>
      </w:pPr>
      <w:r>
        <w:rPr>
          <w:rFonts w:ascii="Arial" w:cs="Arial" w:eastAsia="Arial" w:hAnsi="Arial"/>
          <w:sz w:val="18"/>
          <w:szCs w:val="18"/>
          <w:color w:val="auto"/>
        </w:rPr>
        <w:t>In June 2021, we received from Roche notice of termination without cause of the 2017 Roche Agreement. The licenses granted by us to Roche under the 2017 Roche Agreement terminated in their entirety on September 16, 2021. Therefore, as of September 16, 2021, Roche no longer has a license for 4D-110 for the treatment of choroideremia or any other product class, and we are no longer entitled to receive any further milestones or royalties from Roche. In July 2021, we notified Roche of our election to continue development of choroideremia. As a result, in accordance with the terms of the agreement, all rights to 4D-110 data and intellectual property generated under the collaboration reverted to us. Under the 2017 Roche Agreement, if we are required to initiate a new Phase 1/2a clinical trial for 4D-110, we would not owe any royalty to Roche on net sales of 4D-110 following regulatory approval and commercialization. If, however, we obtain regulatory approval for and commercialize 4D-110 without being required to conduct a new Phase 1/2a clinical trial, we must pay Roche a mid-single digit percentage royalty on the net sales of 4D-110.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Agreements with uniQure biopharma B.V.</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August 2019, we entered into an Amended and Restated Collaboration and License Agreement (the “Amended and Restated uniQure Agreement”) with uniQure biopharma B.V., now uniQure N.V. (“uniQure”), which amended and restated the Collaboration and License Agreement that we entered into with uniQure in January 2014.</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Under the Amended and Restated uniQure Agreement, we granted uniQure an exclusive, sublicensable, worldwide license under certain of our intellectual property rights, and other rights, to research, develop, make, use, and commercialize pre-selected AAV capsid variants (“Selected Variants”), and compounds and products containing such Selected Variants, using our proprietary AAV technology for delivery of genetic medicine constructs to cells in the central nervous system and the liver (the “uniQure Field”). uniQure is solely responsible, at its cost and expense, to develop and commercialize the compounds and products containing the Selected Variants in accordance with the terms of the Amended and Restated uniQure Agreement. We retain all rights to all other AAV capsid variants, and compounds and products containing such AAV capsid variants, in the uniQure Field.</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Also in August 2019, we entered into a separate Collaboration and License Agreement with uniQure (“Second uniQure Agreement”). Under the Second uniQure Agreement, the parties agreed to research and develop new AAV capsid variants that are not Selected Variants (“New Variants”) using the Company’s proprietary AAV technology for delivery of transgene constructs that affect certain targets (“uniQure Targets”) in the uniQure Field. We are responsible for the research of the New Variants, and uniQure is responsible for the development and commercialization of a certain number of compounds and products containing New Variants, that affect the uniQure Targets (“Licensed Products”). We granted uniQure an exclusive, sublicensable, worldwide license under certain of our intellectual property rights, and other rights, to research, develop, make, use, and commercialize the Licensed Products. We retain rights to New Variants in the uniQure Field that affect targets other than the uniQure Targets. We also retain rights to any new AAV capsid variants developed under the agreements that are not New Variants, including products containing such variants.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Under both the Amended and Restated uniQure Agreement and the Second uniQure Agreement, uniQure will be required to pay us royalties on worldwide annual net sales of licensed products at a mid-single digit percentage rate, subject to certain specified reductions. These royalties are payable on a product-by-product and country-by-country basis until the latest of ten years after the date of the first commercial sale of such product in such country, the expiration of the last-to-expire licensed patent right covering such product in such country (of which there are none), and the expiration of any applicable exclusivity granted by a regulatory authority in such country for such product (the “uniQure Royalty Term”). uniQure will also be required to pay us a portion of the amounts it receives for licensing or sublicensing to third parties our intellectual property rights licensed or other rights otherwise granted under the Amended and Restated uniQure Agreement, and a portion of the amounts it receives for licensing to third parties our intellectual property rights granted under the Second uniQure Agreement, each at a rate between mid-single digit to mid-twenties percentages, depending on the stage of development at which such third-party grant occurs.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1" w:name="page32"/>
    <w:bookmarkEnd w:id="31"/>
    <w:p>
      <w:pPr>
        <w:jc w:val="both"/>
        <w:ind w:firstLine="644"/>
        <w:spacing w:after="0" w:line="235" w:lineRule="auto"/>
        <w:rPr>
          <w:sz w:val="20"/>
          <w:szCs w:val="20"/>
          <w:color w:val="auto"/>
        </w:rPr>
      </w:pPr>
      <w:r>
        <w:rPr>
          <w:rFonts w:ascii="Arial" w:cs="Arial" w:eastAsia="Arial" w:hAnsi="Arial"/>
          <w:sz w:val="18"/>
          <w:szCs w:val="18"/>
          <w:color w:val="auto"/>
        </w:rPr>
        <w:t>Under both the Amended and Restated uniQure Agreement and the Second uniQure Agreement, under certain circumstances, we may propose to uniQure, and uniQure may grant to us, a non-exclusive right for us to develop and commercialize certain licensed products based on Selected Variants in the uniQure Field, or New Variants in the uniQure Field, to deliver transgene constructs that affect the uniQure Targets (“4DMT Proposed Products”). Pursuant to the Second uniQure Agreement, under certain circumstances, uniQure may propose to us, and we may grant to uniQure a non-exclusive right for uniQure to develop and commercialize certain licensed products using any new AAV capsid variants developed under the agreement that are not New Variants in the uniQure Field to deliver transgene constructs that affect targets other than the uniQure Targets (“uniQure Proposed Products”). If either party obtains the rights to develop and commercialize a 4DMT Proposed Product or a uniQure Proposed Product, as applicable, such party will be required to pay the other party royalties on worldwide annual net sales of such products at a mid-single digit percentage rate, subject to specified reductions. These royalties will be payable on a product-by-product basis during the uniQure Royalty Term for such products. The party receiving such license will also be required to pay the other party a portion of the amounts that it may receive for licensing or sublicensing to third parties rights for such 4DMT Proposed Products or uniQure Proposed Products, as applicable, at a rate between mid-single digit to mid-twenties percentages depending on the stage of development at which the sublicense is granted.</w:t>
      </w:r>
    </w:p>
    <w:p>
      <w:pPr>
        <w:spacing w:after="0" w:line="21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Each of the Amended and Restated uniQure Agreement and the Second uniQure Agreement will expire on the expiration of all payment obligations of the parties under such agreement. Each party may terminate either agreement for the other party’s insolvency or bankruptcy. Each party may also terminate either agreement in its entirety in some circumstances or on an indication-by-indication basis if the other party fails to cure its material breach under the applicable agreement within 90 days of receiving notice, subject to an additional cure period in accordance with the terms of such agreement. uniQure may terminate either agreement upon 90 days’ prior written notice. If we terminate either agreement for uniQure’s material breach, insolvency or bankruptcy or if uniQure terminates either agreement for convenience, the rights to the Selected Variants, and products containing such Selected Variants, or the New Variants, and products containing such New Variants, as applicable, generally revert back to us. If uniQure terminates either agreement for our material breach under the applicable agreement, insolvency or bankruptcy, uniQure may retain its rights to the intellectual property license grant under such agreement and uniQure’s payment obligations will survive.</w:t>
      </w:r>
    </w:p>
    <w:p>
      <w:pPr>
        <w:spacing w:after="0" w:line="181"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b w:val="1"/>
          <w:bCs w:val="1"/>
          <w:i w:val="1"/>
          <w:iCs w:val="1"/>
          <w:color w:val="auto"/>
        </w:rPr>
        <w:t>Exclusive License and Agreements with The Regents of the University of California and The Trustees of the University of Pennsylvania</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December 2013, we entered into two Exclusive License and Bailment Agreements (the “2013 UC Agreements”) with The Regents of the University of California (the “UC Regents”) with one of the agreements covering AAV2 capsid mutants with novel properties for enhanced performance in genetic medicine and the other covering AAV for enhanced gene delivery in the presence of neutralizing antibodies. Under both 2013 UC Agreements, the UC Regents granted us an exclusive, sublicensable license under certain patent rights to make, use, sell, offer to sell, and import products and services, and to practice methods in the United States and foreign countries where the licensed patent rights exist. The license grant under one of the 2013 UC Agreements is in all fields of use and the license grant under the other 2013 UC Agreement is in all fields of use, with the exception of the ophthalmic field. We agreed to certain general and specific diligence obligations under both 2013 UC Agreements in connection with the development, manufacture and sales of the licensed products, services and methods.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Under each 2013 UC Agreement, we paid the UC Regents an upfront payment of $5,000. Further, at the closing of our Series A financing that was a qualified financing pursuant to the 2013 UC Agreements, we issued 311,812 shares of our common stock in aggregate under both agreements. Under each 2013 UC Agreement, we agreed to pay the UC Regents a specified annual license maintenance fee in each year in which we do not owe royalties to the UC Regents. We also agreed to pay the UC Regents a mid-teens to mid-twenties percentage range of any consideration, including royalties, we receive for the grant of a sublicense under the licensed patent rights under each 2013 UC Agreement, with the consideration payable to the UC Regents to not exceed such percentage range in the aggregate under both 2013 UC Agreements for the same sublicense grant. We may reduce any such sublicense consideration payable to UC Regents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2" w:name="page33"/>
    <w:bookmarkEnd w:id="32"/>
    <w:p>
      <w:pPr>
        <w:jc w:val="both"/>
        <w:spacing w:after="0" w:line="235" w:lineRule="auto"/>
        <w:rPr>
          <w:sz w:val="20"/>
          <w:szCs w:val="20"/>
          <w:color w:val="auto"/>
        </w:rPr>
      </w:pPr>
      <w:r>
        <w:rPr>
          <w:rFonts w:ascii="Arial" w:cs="Arial" w:eastAsia="Arial" w:hAnsi="Arial"/>
          <w:sz w:val="18"/>
          <w:szCs w:val="18"/>
          <w:color w:val="auto"/>
        </w:rPr>
        <w:t>if we sublicense any of our own or third-party patent rights under the sublicense grant based on the relative value of the sublicensed patents. Upon the achievement of specified development and regulatory milestones by the first licensed product or method, we will be required to pay the UC Regents up to $3.1 million under each 2013 UC Agreement. We will also be required to pay the UC Regents a royalty on net sales of licensed products, services and methods covered by the patents licensed under the 2013 UC Agreements at a percentage in the low single-digit percentage rate, subject to certain specified reductions. Under the UC Agreements,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both UC Agreements. Under each UC Agreement, royalties are payable until the expiration of the last-to-expire licensed patent right covering the licensed product, service or method, at which time the agreement shall expire. The UC Regents may terminate each of the 2013 UC Agreements if we fail to cure a breach of such UC Agreement within 60 days of notice. If we fail to meet our diligence obligations, the UC Regents has the right, under each 2013 UC Agreement, to either terminate the agreement or to reduce our exclusive license to a non-exclusive license, after giving us 60 days to cure or request arbitration. We may terminate either 2013 UC Agreement at-will in its entirety or with respect to any portion of the licensed patent rights upon 90 days prior written notice.</w:t>
      </w:r>
    </w:p>
    <w:p>
      <w:pPr>
        <w:spacing w:after="0" w:line="21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January 2019, the Company entered into an Exclusive License and Bailment Agreement (“the 2019 UC Agreement”) with the UC Regents to license patent rights related to certain retinal AAV variants. The UC Regents granted us an exclusive, sublicensable license to make, use, sell, offer to sell, and import products and services, and to practice methods in the United States and foreign countries where the licensed patent rights exist. The license grant under the 2019 UC Agreement is in all fields of use. We agreed to certain general and specific diligence obligations under the 2019 UC Agreement in connection with the development, manufacture and sales of the licensed products, services and methods.</w:t>
      </w:r>
    </w:p>
    <w:p>
      <w:pPr>
        <w:spacing w:after="0" w:line="20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Under the 2019 UC Agreement, we paid the UC Regents an upfront payment of $50,000 and agreed to pay a specified annual license maintenance fee in each year in which we do not owe royalties to the UC Regents. We also agreed to pay the UC Regents a mid-teens to mid-twenties percentage range of any consideration, including royalties, we receive for the grant of a sublicense under the licensed patent rights under the 2019 UC Agreement. We may reduce any such sublicense consideration payable to UC Regents if we sublicense any of our own or third-party patent rights under the sublicense grant based on the relative value of the sublicensed patents. Upon the achievement of specified development and regulatory milestones by the first licensed product or method, we will be required to pay the UC Regents up to $3.1 million under the 2019 UC Agreement. We will also be required to pay the UC Regents a royalty on net sales of licensed products, services and methods covered by the patents licensed under the 2019 UC Agreements at a percentage in the low single-digit percentage rate, subject to certain specified reductions. Under the 2019 UC Agreement, a specified minimum annual royalty will also be due to the UC Regents beginning the first calendar year after the year in which any net sales of a licensed product first occur, such minimum royalty amount to increase on an annual basis, but not to exceed $0.1 million in the aggregate. Under the 2019 UC Agreement, royalties are payable until the expiration of the last-to-expire licensed patent right covering the licensed product, service or method, at which time the agreement shall expire. The UC Regents may terminate the 2019 UC Agreement if we fail to cure a breach of the agreement within 60 days of notice. If we fail to meet our diligence obligations, the UC Regents has the right to either terminate the agreement or to reduce our exclusive license to a non-exclusive license, after giving us 60 days to cure or request arbitration. We may terminate either 2019 UC Agreement at-will in its entirety or with respect to any portion of the licensed patent rights upon 90 days prior written notice.</w:t>
      </w:r>
    </w:p>
    <w:p>
      <w:pPr>
        <w:spacing w:after="0" w:line="20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July 2021, the Company entered into an Exclusive License Agreement (the “UC/UPenn Agreement”) with the UC Regents and the Trustees of the University of Pennsylvania (“UPenn”) to license intellectual property related to certain AAV vectors. The UC Regents and UPenn granted us an exclusive, sublicensable license to make, use, sell, offer to sell, and import products and services, and to practice methods in the United States and foreign countries where the licensed patent rights exist. The license grant under the UC/UPenn Agreement is in all therapeutic and prophylactic fields of use and excludes diagnostic uses. We agreed to certain general and specific diligence obligations under the UC/UPenn Agreement in connection with the development, manufacture and sales of the licensed products, services and methods.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3" w:name="page34"/>
    <w:bookmarkEnd w:id="33"/>
    <w:p>
      <w:pPr>
        <w:jc w:val="both"/>
        <w:spacing w:after="0" w:line="235" w:lineRule="auto"/>
        <w:rPr>
          <w:sz w:val="20"/>
          <w:szCs w:val="20"/>
          <w:color w:val="auto"/>
        </w:rPr>
      </w:pPr>
      <w:r>
        <w:rPr>
          <w:rFonts w:ascii="Arial" w:cs="Arial" w:eastAsia="Arial" w:hAnsi="Arial"/>
          <w:sz w:val="18"/>
          <w:szCs w:val="18"/>
          <w:color w:val="auto"/>
        </w:rPr>
        <w:t>In July 2021, the Company paid a non-refundable license fee of $100,000 to the UC Regents upon execution of the agreement. The Company is obligated to pay a non-refundable license maintenance fee of $10,000 on the one-year anniversary of the contract effective date and each year thereafter, except years for which the Company has paid royalties on the net sales of a licensed product. In addition, the Company is obligated to make certain contingent payments including (i) development sales milestones up to $3.9 million, (ii) low single digit percentage rate royalties on the net sales of its licensed products that consists of a minimum annual royalty of up to $0.1 million per year for the term of the Agreement beginning in the first calendar year after the year in which net sales first occurred and (iii) sublicense consideration in the mid-single digits to the low twenties percentage rate range on any future sublicensing arrangements the Company may enter into with third-party licensees, which we may reduce if we sublicense any of our own or third-party patent rights under the sublicense grant based on the relative value of the sublicensed patents. Under the UC/UPenn Agreement, royalties are payable until the expiration of the last-to-expire licensed patent right covering the licensed product, services or method, at which time the agreement shall expire. The UC Regents or UPenn may terminate the UC/UPenn Agreement if we fail to cure a breach of the agreement within 60 days of notice. If we fail to meet our diligence obligations, the UC Regents has the right to either terminate the agreement or to reduce our exclusive license to a non-exclusive license, after giving us 60 days to cure or request arbitration. We may terminate the UC/UPenn Agreement at-will in its entirety or with respect to any portion of the licensed patent rights upon 90 days prior written notice. On February 22, 2023, we provided 90 days written notice to UC and UPenn to terminate the UC/UPenn Agreement its entirety at-will. Accordingly, the effective Termination Date of the UC/UPenn Agreement is May 23,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Foundation</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2016, we received a grant from Cystic Fibrosis Foundation (“CFF”) in the amount of $525,000 to support discovery and development of product candidates to treat cystic fibrosis. The grant was increased to $3.5 million in 2017 and was subsequently amended to allocate the $3.5 million to different milestones. The grant provides for repayment to CFF upon the commercialization of any product developed under the grant. The repayment is capped at nine times the grant actually paid to us.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April 2020, CFF made a $10.0 million investment in our Series C redeemable convertible preferred stock financing. In return for the investment, CFF received shares of our Series C redeemable convertible preferred stock, and we and CFF entered into a Funding Agreement (the Funding Agreement). Pursuant to the terms of the Funding Agreement, we agreed to use the proceeds of the CFF investment to support development of 4D-710, our product candidate for the treatment of cystic fibrosis, and to match CFF’s support for the product candidate. As provided under the Funding Agreement, following acceptance by the FDA in October 2021 of our IND for 4D-710 (“Acceptance”), CFF made an additional $4.0 million investment (the “Subsequent Investment”), in exchange for 125,715 shares of the Company’s common stock. We have agreed to use the additional $4.0 million from the Subsequent Investment to support development of 4D-710 and to match CFF’s support of the product candidate. Under the terms of the Funding Agreement, neither the $10.0 million investment in the Series C redeemable convertible preferred stock nor the $4.0 million of funding upon Acceptance are restricted as to withdrawal or usage.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applicable federal, state, local and foreign statutes and regulations require the expenditure of substantial time and financial resources.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the United States, biological products are subject to regulation under the Federal Food, Drug, and Cosmetic Act, the Public Health Service Act, and other federal, state, local and foreign statutes and regulations. The process required by the FDA before biologic product candidates may be marketed in the United States generally involves the following:</w:t>
      </w:r>
    </w:p>
    <w:p>
      <w:pPr>
        <w:spacing w:after="0" w:line="94" w:lineRule="exact"/>
        <w:rPr>
          <w:sz w:val="20"/>
          <w:szCs w:val="20"/>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GLPs;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by an Institutional Review Board (IRB) or ethics committee at each clinical site before the trial is commenced;</w:t>
      </w:r>
    </w:p>
    <w:p>
      <w:pPr>
        <w:spacing w:after="0" w:line="116"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biologic product candidate for its intended purpose;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6"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cGMP and to assure that the facilities, methods and controls are adequate to preserve the biological product’s continued safety, purity and potency, and of selected clinical investigation sites to assess compliance with Good Clinical Practices (“GCP”); and</w:t>
      </w:r>
    </w:p>
    <w:p>
      <w:pPr>
        <w:spacing w:after="0" w:line="95"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to the submission of an IND to the FDA, under the National Institutes of Health (“NIH”) Guidelines for Research Involving Recombinant DNA Molecules (“NIH Guidelines”), supervision of certain human gene transfer trials may also require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assessment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6"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which include the requirement that all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5" w:name="page36"/>
    <w:bookmarkEnd w:id="35"/>
    <w:p>
      <w:pPr>
        <w:jc w:val="both"/>
        <w:spacing w:after="0" w:line="235" w:lineRule="auto"/>
        <w:rPr>
          <w:sz w:val="20"/>
          <w:szCs w:val="20"/>
          <w:color w:val="auto"/>
        </w:rPr>
      </w:pPr>
      <w:r>
        <w:rPr>
          <w:rFonts w:ascii="Arial" w:cs="Arial" w:eastAsia="Arial" w:hAnsi="Arial"/>
          <w:sz w:val="18"/>
          <w:szCs w:val="18"/>
          <w:color w:val="auto"/>
        </w:rPr>
        <w:t>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1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 or be combined:</w:t>
      </w:r>
    </w:p>
    <w:p>
      <w:pPr>
        <w:spacing w:after="0" w:line="90" w:lineRule="exact"/>
        <w:rPr>
          <w:sz w:val="20"/>
          <w:szCs w:val="20"/>
          <w:color w:val="auto"/>
        </w:rPr>
      </w:pPr>
    </w:p>
    <w:p>
      <w:pPr>
        <w:jc w:val="both"/>
        <w:ind w:left="102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5"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5" w:lineRule="exact"/>
        <w:rPr>
          <w:rFonts w:ascii="Arial" w:cs="Arial" w:eastAsia="Arial" w:hAnsi="Arial"/>
          <w:sz w:val="18"/>
          <w:szCs w:val="18"/>
          <w:color w:val="auto"/>
        </w:rPr>
      </w:pPr>
    </w:p>
    <w:p>
      <w:pPr>
        <w:jc w:val="both"/>
        <w:ind w:left="1020" w:hanging="504"/>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20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also be made a condition to approval of the BLA.</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 annual program fee. A waiver of user fees may be obtained under certain limited circumstances. Additionally, no user fees are assessed on BLAs for products designated as orphan drugs, unless the product also includes a non-orphan indication.</w:t>
      </w:r>
    </w:p>
    <w:p>
      <w:pPr>
        <w:spacing w:after="0" w:line="204"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filing date. Priority review designation will direct overall attention and resources to the evaluation of applications for products that, if approved, would be significant improvements in the safety or effectiveness of the treatment, diagnosis, or prevention of serious conditions.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also convene an advisory committee to provide clinical insight on application review questions. The FDA is not bound by recommendations of an advisory committee, but it considers such recommendations when making decisions regarding approval.</w:t>
      </w:r>
    </w:p>
    <w:p>
      <w:pPr>
        <w:spacing w:after="0" w:line="211" w:lineRule="exact"/>
        <w:rPr>
          <w:sz w:val="20"/>
          <w:szCs w:val="20"/>
          <w:color w:val="auto"/>
        </w:rPr>
      </w:pPr>
    </w:p>
    <w:p>
      <w:pPr>
        <w:jc w:val="both"/>
        <w:ind w:firstLine="706"/>
        <w:spacing w:after="0" w:line="236" w:lineRule="auto"/>
        <w:rPr>
          <w:sz w:val="20"/>
          <w:szCs w:val="20"/>
          <w:color w:val="auto"/>
        </w:rPr>
      </w:pPr>
      <w:r>
        <w:rPr>
          <w:rFonts w:ascii="Arial" w:cs="Arial" w:eastAsia="Arial" w:hAnsi="Arial"/>
          <w:sz w:val="18"/>
          <w:szCs w:val="18"/>
          <w:color w:val="auto"/>
        </w:rPr>
        <w:t>Before approving a BLA,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7" w:name="page38"/>
    <w:bookmarkEnd w:id="37"/>
    <w:p>
      <w:pPr>
        <w:jc w:val="both"/>
        <w:spacing w:after="0" w:line="236" w:lineRule="auto"/>
        <w:rPr>
          <w:sz w:val="20"/>
          <w:szCs w:val="20"/>
          <w:color w:val="auto"/>
        </w:rPr>
      </w:pPr>
      <w:r>
        <w:rPr>
          <w:rFonts w:ascii="Arial" w:cs="Arial" w:eastAsia="Arial" w:hAnsi="Arial"/>
          <w:sz w:val="18"/>
          <w:szCs w:val="18"/>
          <w:color w:val="auto"/>
        </w:rPr>
        <w:t>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IV post-market studies and surveillance to further assess and monitor the product’s safety and effectiveness after commercialization and may limit further marketing of the product based on the results of these post-marketing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biological product candidates are eligible for fast track designation if they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is submitted, the application may be eligible for priority review. For a fast track product candidate, the FDA may consider sections of the BLA for review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A fast track designated product candidate may also qualify for priority review, under which the FDA sets the target date for FDA action on the BLA at six months after the FDA accepts the application for filing.</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2017, the FDA established the regenerative medicine advanced therapy (“RMAT”) designation as part of its implementation of the 21st Century Cures Act. The RMAT designation program is intended to fulfill the 21st Century Cures Act requirement that the FDA facilitate an efficient development program for, and expedite review of, any drug or biologic that meets the following criteria: (i) the drug or biologic qualifies as a RMAT, which is defined as a cell therapy, therapeutic tissue engineering product, human cell and tissue product, or any combination product using such therapies or products, with limited exceptions; (ii) the drug or biologic is intended to treat, modify, reverse, or cure a serious or life-threatening disease or condition; and (iii) preliminary clinical evidence indicates that the drug or biologic has the potential to address unmet medical needs for such a disease or condition. RMAT designation provides all the benefits of breakthrough therapy designation, including more frequent meetings with the FDA to discuss the development plan for the product candidate and eligibility for rolling review and priority review. Product candidates granted RMAT designation may also be eligible for accelerated approval on the basis of a surrogate or intermediate endpoint reasonably likely to predict long-term clinical benefit, or reliance upon data obtained from a meaningful number of clinical trial sites, including through expansion of trials to additional sites.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8" w:name="page39"/>
    <w:bookmarkEnd w:id="38"/>
    <w:p>
      <w:pPr>
        <w:jc w:val="both"/>
        <w:ind w:firstLine="644"/>
        <w:spacing w:after="0" w:line="235"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RMAT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original BLAs, priority review designation means the FDA’s goal is to take action on the marketing application within six months of the 60-day filing date (as compared to ten months under standard review). 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endpoint or ultimate outcome in relationship to the clinical benefit. In addition, the FDA currently requires as a condition for accelerated approval pre-approval of promotional materials, which could adversely impact the timing of the commercial launch of the product. FDA may withdraw approval of a biologic or indication approved under accelerated approval on an expedited basis if, for example, the sponsor fails to conduct required post-marketing trials in a timely manner or if such trials fail to verify the predicted clinical benefit of the product.</w:t>
      </w:r>
    </w:p>
    <w:p>
      <w:pPr>
        <w:spacing w:after="0" w:line="21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Fast Track designation, priority review, accelerated approval, RMAT designation and breakthrough therapy designation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individuals in the United States, or a patient 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w:t>
      </w:r>
    </w:p>
    <w:p>
      <w:pPr>
        <w:spacing w:after="0" w:line="20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206"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39" w:name="page40"/>
    <w:bookmarkEnd w:id="39"/>
    <w:p>
      <w:pPr>
        <w:jc w:val="both"/>
        <w:spacing w:after="0"/>
        <w:rPr>
          <w:sz w:val="20"/>
          <w:szCs w:val="20"/>
          <w:color w:val="auto"/>
        </w:rPr>
      </w:pPr>
      <w:r>
        <w:rPr>
          <w:rFonts w:ascii="Arial" w:cs="Arial" w:eastAsia="Arial" w:hAnsi="Arial"/>
          <w:sz w:val="18"/>
          <w:szCs w:val="18"/>
          <w:color w:val="auto"/>
        </w:rPr>
        <w:t>condition. We have obtained orphan drug designation for 4D-110 for the treatment of Choroideremia and for 4D-310 for the treatment of Fabry disease, and we plan to seek additional orphan drug designations for some or all of our product candidates in specific orphan indications in which there is a medically plausible basis for the use of these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Biologics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5" w:lineRule="exact"/>
        <w:rPr>
          <w:sz w:val="20"/>
          <w:szCs w:val="20"/>
          <w:color w:val="auto"/>
        </w:rPr>
      </w:pPr>
    </w:p>
    <w:p>
      <w:pPr>
        <w:ind w:left="102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6"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0" w:name="page41"/>
    <w:bookmarkEnd w:id="40"/>
    <w:p>
      <w:pPr>
        <w:jc w:val="both"/>
        <w:spacing w:after="0" w:line="238" w:lineRule="auto"/>
        <w:rPr>
          <w:sz w:val="20"/>
          <w:szCs w:val="20"/>
          <w:color w:val="auto"/>
        </w:rPr>
      </w:pPr>
      <w:r>
        <w:rPr>
          <w:rFonts w:ascii="Arial" w:cs="Arial" w:eastAsia="Arial" w:hAnsi="Arial"/>
          <w:sz w:val="18"/>
          <w:szCs w:val="18"/>
          <w:color w:val="auto"/>
        </w:rPr>
        <w:t>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Affordable Care Act, signed into law in 2010, includes a subtitle called the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4"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transparency laws and regulations with respect to payments and other transfers of value made to physicians and other healthcare professionals, as well as similar foreign laws in the jurisdictions outside the U.S.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 healthcare programs, and imprisonment.</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Pharmaceutical companies may be subject to domestic and foreign privacy, security and data breach notification laws, which are rapidly evolving in many jurisdictions worldwide. In the United States, federal and state health information laws may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w:t>
      </w:r>
    </w:p>
    <w:p>
      <w:pPr>
        <w:spacing w:after="0" w:line="23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17"/>
          <w:szCs w:val="17"/>
          <w:color w:val="auto"/>
        </w:rPr>
        <w:t>In the normal course of business, we may collect and store personal information and other sensitive information, including proprietary and confidential business information, trade secrets, intellectual property, information regarding trial participants in connection with clinical trials, sensitive third-party information and employee information. To protect this information, our existing cybersecurity policies require monitoring and detection programs, network security measures, encryption of critical data, and security assessment of suppliers. We maintain various protections designed to safeguard against cyberattacks, including firewalls, virus detection software, authentication tools, supplier cyber risk assessments and ongoing awareness training. We have established and test our incident response plan and we protect against business interruptions by backing up our key systems. In addition, we periodically scan our environment for any vulnerabilities, perform penetration testing and engage third parties to assess the effectiveness of our data security practices. A third party security partner conducts regular network security reviews, scans, and assessments. In addition, we maintain insurance that includes cybersecurity coverage.</w:t>
      </w:r>
    </w:p>
    <w:p>
      <w:pPr>
        <w:spacing w:after="0" w:line="196"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cybersecurity program is led by our Vice President of IT and Senior Director of IT Operations and Security. The program incorporates industry-standard frameworks, policies and practices designed to protect the privacy and security of our sensitive information. Our cybersecurity team reports to the Audit Committee quarterly on information security and cybersecurity matters, or as needed. Our Audit Committee, which is comprised of several members from our Board of Directors, has oversight responsibility for our data security practices and we believe the committee has the requisite skills and visibility into the design and operation of our data security practices to fulfill this responsibility effectively.</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 – Risks Related to Our Operations” for additional information about the risks to our business associated with a breach or compromise to our information technology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particularly for genetic medicine products where the Centers for Medicare &amp; Medicaid Services (“CMS”) and other third-party payors in the United States have not yet established a uniform policy of coverage and reimbursement.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42" w:name="page43"/>
    <w:bookmarkEnd w:id="42"/>
    <w:p>
      <w:pPr>
        <w:jc w:val="both"/>
        <w:spacing w:after="0" w:line="238" w:lineRule="auto"/>
        <w:rPr>
          <w:sz w:val="20"/>
          <w:szCs w:val="20"/>
          <w:color w:val="auto"/>
        </w:rPr>
      </w:pPr>
      <w:r>
        <w:rPr>
          <w:rFonts w:ascii="Arial" w:cs="Arial" w:eastAsia="Arial" w:hAnsi="Arial"/>
          <w:sz w:val="18"/>
          <w:szCs w:val="18"/>
          <w:color w:val="auto"/>
        </w:rPr>
        <w:t>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us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3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21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18"/>
          <w:szCs w:val="18"/>
          <w:color w:val="auto"/>
        </w:rPr>
        <w:t>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which will remain in effect through 2032, with the exception of a temporary suspension from May 1, 2020 through March 31, 2022, absent additional Congressional action. In addition, on March 11, 2021, the American Rescue Plan Act of 2021 was signed into law, which eliminates the statutory Medicaid drug rebate cap, currently set at 100% of a drug’s average manufacturer price beginning January 1, 2024.</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third-party payors and governmental authorities in reference pricing systems and publication of discounts and list prices.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of December 31, 2022, we had 140 full-time employees. Of these employees, 104 are engaged in research and development and 39 hold M.D. or Ph.D. degrees. Our employees are not represented by labor unions or covered by collective bargaining agreements. We consider our relationship with our employees to be good.</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human resources objectives include, as applicable, identifying, recruiting, developing, managing, retaining, incentivizing and integrating our employees. The principal purposes of our equity incentive plans are to attract, retain and motivate selected employees, consultants, and directors through the granting of stock-based compensation awards and cash-based performance bonus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lease approximately 59,000 square feet of office and laboratory space in Emeryville, California under leases agreements that expire in July 2024 and December 2029. We believe that our facilities 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4" w:name="page45"/>
    <w:bookmarkEnd w:id="44"/>
    <w:p>
      <w:pPr>
        <w:jc w:val="both"/>
        <w:spacing w:after="0" w:line="245" w:lineRule="auto"/>
        <w:rPr>
          <w:sz w:val="20"/>
          <w:szCs w:val="20"/>
          <w:color w:val="auto"/>
        </w:rPr>
      </w:pPr>
      <w:r>
        <w:rPr>
          <w:rFonts w:ascii="Arial" w:cs="Arial" w:eastAsia="Arial" w:hAnsi="Arial"/>
          <w:sz w:val="18"/>
          <w:szCs w:val="18"/>
          <w:color w:val="auto"/>
        </w:rPr>
        <w:t>adequate to meet our current needs, and that suitable additional alternative spaces will be available in the future on commercially reasonable terms, if required.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ind w:firstLine="644"/>
        <w:spacing w:after="0" w:line="257" w:lineRule="auto"/>
        <w:rPr>
          <w:sz w:val="20"/>
          <w:szCs w:val="20"/>
          <w:color w:val="auto"/>
        </w:rPr>
      </w:pPr>
      <w:r>
        <w:rPr>
          <w:rFonts w:ascii="Arial" w:cs="Arial" w:eastAsia="Arial" w:hAnsi="Arial"/>
          <w:sz w:val="17"/>
          <w:szCs w:val="17"/>
          <w:color w:val="auto"/>
        </w:rPr>
        <w:t>We were formed on September 12, 2013 as a Delaware limited liability corporation under the name 4D Molecular Therapeutics, LLC. On March 11, 2015, 4D Molecular Therapeutics, Inc. was incorporated as a Delaware corporation. On March 20, 2015, 4D Molecular Therapeutics, LLC merged with 4D Molecular Therapeutics, Inc., with 4D Molecular Therapeutics, Inc. being the surviving entity. Our principal executive offices are located at 5858 Horton Street #455, Emeryville, California 94608, and our telephone number is (510) 505-2680.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website address is www.4dmoleculartherapeutics.com. The information on, or that can be accessed through, our website is not part of this Annual Report on Form 10-K. The U.S. Securities and Exchange Commission (“SEC”) maintains an Internet site that contains reports, proxy and information statements, and other information regarding issuers that file electronically with the SEC at www.sec.gov. Our Annual Report on Form 10-K, Quarterly Reports on Form 10-Q, Current Reports on Form 8-K and amendments to reports filed or furnished pursuant to Sections 13(a) and 15(d) of the Securities Exchange Act of 1934, as amended, (the “Exchange Act”) are also available free of charge on our investor relations website as soon as reasonably practicable after we electronically file such material with, or furnish it to, the SEC.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jc w:val="both"/>
        <w:ind w:firstLine="644"/>
        <w:spacing w:after="0" w:line="25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financial statements and the related notes and the section of this Quarterly Report on Form 10-Q “Management’s Discussion and Analysis of Financial Condition and Results of Operations,” before deciding whether to invest in our common stock. If any of the following risks actually occur, our business, reputation, financial condition, results of operations, revenue and future prospects could be seriously harmed. The risks and uncertainties described below are not the only ones we face. Additional risks and uncertainties that we are unaware of, or that we currently believe are not material, may also become important factors that adversely affect our business. Unless otherwise indicated, references to our business being seriously harmed in these risk factors and elsewhere will include harm to our business, reputation, financial condition, results of operations, future prospects and stock price. If our business is seriously harmed, the market price of our common stock could decline, and you could lose part or all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ability to implement our business strategy is subject to numerous risks that you should be aware of before making an investment decision. The following is a summary of the principal risks that could seriously harm our business, all of which are more fully described below. This summary should be read in conjunction with the other risk factors included in this “Risk Factors” section and should not be relied upon as an exhaustive summary of the material risks facing our business.</w:t>
      </w:r>
    </w:p>
    <w:p>
      <w:pPr>
        <w:spacing w:after="0" w:line="96" w:lineRule="exact"/>
        <w:rPr>
          <w:sz w:val="20"/>
          <w:szCs w:val="20"/>
          <w:color w:val="auto"/>
        </w:rPr>
      </w:pPr>
    </w:p>
    <w:p>
      <w:pPr>
        <w:ind w:left="1020" w:right="640" w:hanging="504"/>
        <w:spacing w:after="0" w:line="27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66" w:lineRule="exact"/>
        <w:rPr>
          <w:rFonts w:ascii="Arial" w:cs="Arial" w:eastAsia="Arial" w:hAnsi="Arial"/>
          <w:sz w:val="17"/>
          <w:szCs w:val="17"/>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had recurring net losses, and we expect to continue to incur significant net losses for the foreseeable future.</w:t>
      </w:r>
    </w:p>
    <w:p>
      <w:pPr>
        <w:spacing w:after="0" w:line="116" w:lineRule="exact"/>
        <w:rPr>
          <w:rFonts w:ascii="Arial" w:cs="Arial" w:eastAsia="Arial" w:hAnsi="Arial"/>
          <w:sz w:val="18"/>
          <w:szCs w:val="18"/>
          <w:color w:val="auto"/>
        </w:rPr>
      </w:pPr>
    </w:p>
    <w:p>
      <w:pPr>
        <w:ind w:left="1020" w:right="6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93" w:lineRule="exact"/>
        <w:rPr>
          <w:rFonts w:ascii="Arial" w:cs="Arial" w:eastAsia="Arial" w:hAnsi="Arial"/>
          <w:sz w:val="18"/>
          <w:szCs w:val="18"/>
          <w:color w:val="auto"/>
        </w:rPr>
      </w:pPr>
    </w:p>
    <w:p>
      <w:pPr>
        <w:ind w:left="1020" w:right="120" w:hanging="504"/>
        <w:spacing w:after="0" w:line="23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95" w:lineRule="exact"/>
        <w:rPr>
          <w:rFonts w:ascii="Arial" w:cs="Arial" w:eastAsia="Arial" w:hAnsi="Arial"/>
          <w:sz w:val="18"/>
          <w:szCs w:val="18"/>
          <w:color w:val="auto"/>
        </w:rPr>
      </w:pPr>
    </w:p>
    <w:p>
      <w:pPr>
        <w:ind w:left="1020" w:right="180" w:hanging="504"/>
        <w:spacing w:after="0" w:line="274"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66" w:lineRule="exact"/>
        <w:rPr>
          <w:rFonts w:ascii="Arial" w:cs="Arial" w:eastAsia="Arial" w:hAnsi="Arial"/>
          <w:sz w:val="17"/>
          <w:szCs w:val="17"/>
          <w:color w:val="auto"/>
        </w:rPr>
      </w:pPr>
    </w:p>
    <w:p>
      <w:pPr>
        <w:ind w:left="1020" w:right="56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genetic medicine technology may negatively impact the developmental progress or commercial success of products that we develop alone or with collaborators.</w:t>
      </w:r>
    </w:p>
    <w:p>
      <w:pPr>
        <w:spacing w:after="0" w:line="89"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clinical trials may fail to demonstrate substantial evidence of the safety and efficacy of our product candidates, which would prevent, delay or limit the scope of regulatory approval and commercialization.</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substantially harmed.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46" w:name="page47"/>
    <w:bookmarkEnd w:id="46"/>
    <w:p>
      <w:pPr>
        <w:ind w:left="1020" w:right="560" w:hanging="504"/>
        <w:spacing w:after="0" w:line="274"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66" w:lineRule="exact"/>
        <w:rPr>
          <w:rFonts w:ascii="Arial" w:cs="Arial" w:eastAsia="Arial" w:hAnsi="Arial"/>
          <w:sz w:val="17"/>
          <w:szCs w:val="17"/>
          <w:color w:val="auto"/>
        </w:rPr>
      </w:pPr>
    </w:p>
    <w:p>
      <w:pPr>
        <w:ind w:left="102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6" w:lineRule="exact"/>
        <w:rPr>
          <w:rFonts w:ascii="Arial" w:cs="Arial" w:eastAsia="Arial" w:hAnsi="Arial"/>
          <w:sz w:val="18"/>
          <w:szCs w:val="18"/>
          <w:color w:val="auto"/>
        </w:rPr>
      </w:pPr>
    </w:p>
    <w:p>
      <w:pPr>
        <w:ind w:left="1020" w:right="400" w:hanging="504"/>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in the early stages of drug development and have a very limited operating history and no products approved for commercial sale, which may make it difficult to evaluate our current business and predict our future success and viability.</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are a clinical-stage genetic medicine company pioneering the development of product candidates using our targeted and evolved AAV vectors. We commenced operations in September 2013, have no products approved for commercial sale and have not generated any product revenue. Drug development is a highly uncertain undertaking and involves a substantial degree of risk. If our product candidates are not successfully developed and approved, we may never generate any product revenue. To date, we have not completed any clinical trials (including any pivotal clinical trial), obtained marketing approval for any product candidates, manufactured commercial scale quantities of any of our product candidates or arranged for a third party to do so on our behalf,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be seriously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recurring net losses, and we expect to continue to incur significant net losses for the foreseeable future.</w:t>
      </w:r>
    </w:p>
    <w:p>
      <w:pPr>
        <w:spacing w:after="0" w:line="12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We have incurred recurring net losses, including net losses of $107.5 million and $71.3 million for the years ended December 31, 2022 and 2021, respectively. As of December 31, 2022, we had an accumulated deficit of $314.5 million.</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devoted substantially all of our financial resources and efforts on research and development activities, including for our product candidates and our Therapeutic Vector Evolution platform. We do not expect to generate revenue from product sales for several years, if at all. We continue to incur significant research and development and other expenses related to our ongoing operations.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20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We anticipate that our expenses will increase substantially if and as we:</w:t>
      </w:r>
    </w:p>
    <w:p>
      <w:pPr>
        <w:spacing w:after="0" w:line="90" w:lineRule="exact"/>
        <w:rPr>
          <w:sz w:val="20"/>
          <w:szCs w:val="20"/>
          <w:color w:val="auto"/>
        </w:rPr>
      </w:pPr>
    </w:p>
    <w:p>
      <w:pPr>
        <w:ind w:left="1020" w:hanging="50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6"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delays in our preclinical studies and clinical trials, whether current or planned, due to the novel coronavirus (“COVID-19”) pandemic, or other factors;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7" w:name="page48"/>
    <w:bookmarkEnd w:id="47"/>
    <w:p>
      <w:pPr>
        <w:ind w:left="1020" w:right="240" w:hanging="504"/>
        <w:spacing w:after="0" w:line="24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manufacturing facilities and work with our contract manufacturers to scale up the manufacturing processes for our product candidates;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the development of our Therapeutic Vector Evolution platform;</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adversely impacted by general economic conditions, such as rising inflation and increased interest rates;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the impact of the COVID-19 pandemic, which may exacerbate the magnitude of the factors discussed above.</w:t>
      </w:r>
    </w:p>
    <w:p>
      <w:pPr>
        <w:spacing w:after="0" w:line="22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deficit and working capital. In any particular quarter or quarters, our operating results could be below the expectations of securities analysts or investors, which could cause our stock price to decline.</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 consuming, expensive and uncertain process that takes years to complete. Our operations have required substantial amounts of cash since inception. To date, we have financed our operations primarily through the sale of equity securities and to a lesser extent from cash received pursuant to our collaboration and license agreements. We have initiated clinical trials, which are ongoing, and have additional product candidates in preclinical development that may enter clinical development. Developing our product candidates is expensive, and we expect to continue to spend substantial amounts as we fund our early stage research projects, continue preclinical and clinical development of our product candidates and, in particular, advance our product candidates through clinical trials. Even if we are successful in developing our product candidates, obtaining regulatory approvals and launching and commercializing any product candidate will require substantial funding.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we had $218.5 million in cash and cash equivalents and marketable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48" w:name="page49"/>
    <w:bookmarkEnd w:id="48"/>
    <w:p>
      <w:pPr>
        <w:jc w:val="both"/>
        <w:ind w:firstLine="644"/>
        <w:spacing w:after="0"/>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will allow us to fund our planned operations for at least one year from the date of the issuance of the financial statements included in this Annual Report on Form 10-K.</w:t>
      </w:r>
    </w:p>
    <w:p>
      <w:pPr>
        <w:spacing w:after="0" w:line="20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Our ability to raise additional capital may be adversely impacted if global economic conditions continue to worsen or if the COVID-19 pandemic, including the spread of any variant thereof, causes new disruptions and volatility to credit and financial markets and to product supply chains. If adequate funds are not available to us on a timely basis, we may be required to:</w:t>
      </w:r>
    </w:p>
    <w:p>
      <w:pPr>
        <w:spacing w:after="0" w:line="96" w:lineRule="exact"/>
        <w:rPr>
          <w:sz w:val="20"/>
          <w:szCs w:val="20"/>
          <w:color w:val="auto"/>
        </w:rPr>
      </w:pPr>
    </w:p>
    <w:p>
      <w:pPr>
        <w:ind w:left="1020" w:right="60" w:hanging="504"/>
        <w:spacing w:after="0" w:line="24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89" w:lineRule="exact"/>
        <w:rPr>
          <w:rFonts w:ascii="Arial" w:cs="Arial" w:eastAsia="Arial" w:hAnsi="Arial"/>
          <w:sz w:val="18"/>
          <w:szCs w:val="18"/>
          <w:color w:val="auto"/>
        </w:rPr>
      </w:pPr>
    </w:p>
    <w:p>
      <w:pPr>
        <w:ind w:left="1020" w:right="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our product candidates, or reduce our flexibility in developing or maintaining our sales and marketing strategy.</w:t>
      </w:r>
    </w:p>
    <w:p>
      <w:pPr>
        <w:spacing w:after="0" w:line="20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also could be required to seek funds through arrangements with collaborators or others that may require us to relinquish rights to, or jointly own some aspects of, our product candidates or technologies that we would otherwise pursue on our own. We do not expect to realize revenue from sales of products or royalties from licensed products in the foreseeable future, if at all, and unless and until a product candidate is clinically tested, approved for commercialization and successfully marketed.</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will be required to seek additional funding in the future and currently intend to do so through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seriously harm our business and cause the price of our common stock to decline.</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Due to the significant resources required for the development of our product candidates, in particular our product candidates in IND-enabling studies and those in clinical trials,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less than optimal and could cause us to miss valuable opportunities. If we make incorrect determinations regarding the viability or market potential of any of our product candidates or misread trends in the biopharmaceutical industry, in particular for ophthalmology,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9" w:name="page50"/>
    <w:bookmarkEnd w:id="49"/>
    <w:p>
      <w:pPr>
        <w:jc w:val="both"/>
        <w:spacing w:after="0" w:line="237" w:lineRule="auto"/>
        <w:rPr>
          <w:sz w:val="20"/>
          <w:szCs w:val="20"/>
          <w:color w:val="auto"/>
        </w:rPr>
      </w:pPr>
      <w:r>
        <w:rPr>
          <w:rFonts w:ascii="Arial" w:cs="Arial" w:eastAsia="Arial" w:hAnsi="Arial"/>
          <w:sz w:val="18"/>
          <w:szCs w:val="18"/>
          <w:color w:val="auto"/>
        </w:rPr>
        <w:t>cardiology and pulmonology diseases, our business could be seriously harmed. As a result, we may fail to capitalize on viable commercial products or profitable market opportunities, be required to forego or delay pursuit of opportunities with other product candidates or other diseases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4" w:lineRule="exact"/>
        <w:rPr>
          <w:sz w:val="20"/>
          <w:szCs w:val="20"/>
          <w:color w:val="auto"/>
        </w:rPr>
      </w:pPr>
    </w:p>
    <w:p>
      <w:pPr>
        <w:ind w:left="1020" w:right="14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93" w:lineRule="exact"/>
        <w:rPr>
          <w:rFonts w:ascii="Arial" w:cs="Arial" w:eastAsia="Arial" w:hAnsi="Arial"/>
          <w:sz w:val="18"/>
          <w:szCs w:val="18"/>
          <w:color w:val="auto"/>
        </w:rPr>
      </w:pPr>
    </w:p>
    <w:p>
      <w:pPr>
        <w:ind w:left="1020" w:right="34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receipt of approvals from regulatory authorities in the United States and internationally;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status of enrollment and safety and efficacy readouts for our clinical trials;</w:t>
      </w:r>
    </w:p>
    <w:p>
      <w:pPr>
        <w:spacing w:after="0" w:line="116" w:lineRule="exact"/>
        <w:rPr>
          <w:rFonts w:ascii="Arial" w:cs="Arial" w:eastAsia="Arial" w:hAnsi="Arial"/>
          <w:sz w:val="18"/>
          <w:szCs w:val="18"/>
          <w:color w:val="auto"/>
        </w:rPr>
      </w:pPr>
    </w:p>
    <w:p>
      <w:pPr>
        <w:ind w:left="1020" w:right="8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 the cost of continuing to establish and scale up our internal manufacturing capabilities, and the terms of any agreements we enter into with third-party suppliers;</w:t>
      </w:r>
    </w:p>
    <w:p>
      <w:pPr>
        <w:spacing w:after="0" w:line="93" w:lineRule="exact"/>
        <w:rPr>
          <w:rFonts w:ascii="Arial" w:cs="Arial" w:eastAsia="Arial" w:hAnsi="Arial"/>
          <w:sz w:val="18"/>
          <w:szCs w:val="18"/>
          <w:color w:val="auto"/>
        </w:rPr>
      </w:pPr>
    </w:p>
    <w:p>
      <w:pPr>
        <w:ind w:left="1020" w:right="24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any option, milestone, royalty or other payments due under any current or future collaboration or license agreement;</w:t>
      </w:r>
    </w:p>
    <w:p>
      <w:pPr>
        <w:spacing w:after="0" w:line="89"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genetic medicine product candidates and potential future drugs that compete with our products, if approved;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genetic medicine products, if approved, which may vary significantly over time;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from general macroeconomic trends, such as higher inflation and increased interest rates.</w:t>
      </w:r>
    </w:p>
    <w:p>
      <w:pPr>
        <w:spacing w:after="0" w:line="22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For example, most of our collaboration and license revenue for the year ended December 31, 2021 was from Roche. However, Roche terminated its collaboration and license agreement with us effective September 16, 2021. 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financial analysts or investors for any period. If our revenue or operating results fall below or if operating expenses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18"/>
          <w:szCs w:val="18"/>
          <w:color w:val="auto"/>
        </w:rPr>
        <w:t>or other costs are higher than the expectations of analysts or investors or below or above, as the case may be,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Research, Discovery, Development and Commercialization of Our Product Candidates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All of our product candidates are based on a novel AAV genetic medicine technology with which there is limited regulatory and clinical experience to date, which makes it difficult to predict the time and cost of product candidate development and subsequently obtaining regulatory approval. Further, the regulatory approval process for novel product candidates such as ours can be more expensive and take longer than for other, better known or extensively studied therapeutic modalities.</w:t>
      </w:r>
    </w:p>
    <w:p>
      <w:pPr>
        <w:spacing w:after="0" w:line="19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All of our product candidates are based on genetic medicine technology, and our future success depends on the successful development of this novel therapeutic approach. We cannot assure you that any development problems we or other genetic medicine companies experience in the future related to genetic medicine technology will not cause significant delays or unanticipated costs in the development of our product candidates, or that such development problems can be solved. In addition, the clinical study requirements of the U.S. Food and Drug Administration (“FDA”) and other regulatory agencies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ours can be more expensive and take longer than for other, better known or extensively studied therapeutic modalities. Further, as we are developing novel treatments for diseases in which there is limited clinical experience with new endpoints and methodologies, there is heightened risk that the FDA, European Medicines Agency (“EMA”) or comparable foreign regulatory bodies may not consider the clinical trial endpoints to provide clinically meaningful results, and the resulting clinical data and results may be more difficult to analyze. To date, few genetic medicine products have been approved by the FDA or comparable foreign regulatory authorities, which makes it difficult to determine how long it will take or how much it will cost to obtain regulatory approvals for our product candidates in the United States, the European Union or other jurisdictions. Further, approvals by one regulatory agency may not be indicative of what other regulatory agencies may require for approval.</w:t>
      </w:r>
    </w:p>
    <w:p>
      <w:pPr>
        <w:spacing w:after="0" w:line="21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Regulatory requirements governing genetic medicine products have evolved and may continue to change in the future. For example, the FDA has established the Office of Therapeutic Products within its Center for Biologics Evaluation and Research (“CBER”) to consolidate the review of genetic medicine and related products, and the Cellular, Tissue and Gene Therapies Advisory Committee to advise CBER on its review. These and other regulatory review agencies, committees and advisory groups and the requirements and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National Institutes of Health (“NIH”) Guidelines for Research Involving Recombinant DNA Molecules (“NIH Guidelines”) require supervision of human gene transfer trials, including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the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51" w:name="page52"/>
    <w:bookmarkEnd w:id="51"/>
    <w:p>
      <w:pPr>
        <w:jc w:val="both"/>
        <w:ind w:firstLine="644"/>
        <w:spacing w:after="0"/>
        <w:rPr>
          <w:sz w:val="20"/>
          <w:szCs w:val="20"/>
          <w:color w:val="auto"/>
        </w:rPr>
      </w:pPr>
      <w:r>
        <w:rPr>
          <w:rFonts w:ascii="Arial" w:cs="Arial" w:eastAsia="Arial" w:hAnsi="Arial"/>
          <w:sz w:val="18"/>
          <w:szCs w:val="18"/>
          <w:color w:val="auto"/>
        </w:rPr>
        <w:t>We are subject to significant regulatory oversight by the FDA, and, in addition, the applicable IBC and Institutional Review Board (“IRB”), of each institution at which we or our collaborators conduct clinical trials of our product candidates, or a central IRB if appropriate, need to review and approve the proposed clinical trial.</w:t>
      </w:r>
    </w:p>
    <w:p>
      <w:pPr>
        <w:spacing w:after="0" w:line="20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Similarly, the EMA governs the development of gene therapies in the European Union and may issue new guidelines concerning the development and marketing authorization for genetic medicine products and require that we comply with these new guidelines.</w:t>
      </w:r>
    </w:p>
    <w:p>
      <w:pPr>
        <w:spacing w:after="0" w:line="19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Changes in applicable regulatory guidelines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As we advance our product candidates, we will be required to consult with these regulatory and advisory groups and comply with applicable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 and could seriously harm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Adverse public perception or regulatory scrutiny of genetic medicine technology may negatively impact the developmental progress or commercial success of product candidates that we develop alone or with collaborators.</w:t>
      </w:r>
    </w:p>
    <w:p>
      <w:pPr>
        <w:spacing w:after="0" w:line="17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developmental and commercial success of our current product candidates, or any that we develop alone or with collaborators in the future, will depend in part on public acceptance of the use of genetic medicine technology, including the use of AAVs, for the prevention or treatment of human diseases. Adverse public perception of gene therapies may negatively impact our ability to raise capital or enter into strategic agreements for the development of product candidates.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Genetic medicine remains a novel technology. The commercial success of our genetic medicine product candidates, if successfully developed and approved, may be adversely affected by claims that genetic medicine is unsafe, unethical or immoral. This may lead to unfavorable public perception and the inability of any of our product candidates to gain the acceptance of the public or the medical community. Unfavorable public perceptions may also adversely impact our or our collaborators’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20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seriously harm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Less common adverse effects may not become evident until investigational products are tested in large-scale, Phase 3 clinical trials or, in some cases, after they are made available to patients on a commercial scale after approval.</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alone or with collaborators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6" w:lineRule="exact"/>
        <w:rPr>
          <w:sz w:val="20"/>
          <w:szCs w:val="20"/>
          <w:color w:val="auto"/>
        </w:rPr>
      </w:pPr>
    </w:p>
    <w:p>
      <w:pPr>
        <w:ind w:left="1020" w:right="60" w:hanging="504"/>
        <w:spacing w:after="0" w:line="24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9" w:lineRule="exact"/>
        <w:rPr>
          <w:rFonts w:ascii="Arial" w:cs="Arial" w:eastAsia="Arial" w:hAnsi="Arial"/>
          <w:sz w:val="18"/>
          <w:szCs w:val="18"/>
          <w:color w:val="auto"/>
        </w:rPr>
      </w:pPr>
    </w:p>
    <w:p>
      <w:pPr>
        <w:ind w:left="1020" w:right="2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6" w:lineRule="exact"/>
        <w:rPr>
          <w:rFonts w:ascii="Arial" w:cs="Arial" w:eastAsia="Arial" w:hAnsi="Arial"/>
          <w:sz w:val="18"/>
          <w:szCs w:val="18"/>
          <w:color w:val="auto"/>
        </w:rPr>
      </w:pPr>
    </w:p>
    <w:p>
      <w:pPr>
        <w:ind w:left="1020" w:right="38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(“REMS”), which could include a medication guide outlining the risks of such side effects for distribution to patients, a communication plan for healthcare providers and/or other elements to assure safe use;</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no products approved for commercial sale, and we have never generated any revenue from product sales, and we may never generate product revenue or be profitable.</w:t>
      </w:r>
    </w:p>
    <w:p>
      <w:pPr>
        <w:spacing w:after="0" w:line="193"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which will not occur for several years, if ever.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03" w:lineRule="exact"/>
        <w:rPr>
          <w:sz w:val="20"/>
          <w:szCs w:val="20"/>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6"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which has resulted in, and in the future may continue to result in delays to patient enrollment, patients discontinuing their treatment or follow up visits or changes to trial protocols;</w:t>
      </w:r>
    </w:p>
    <w:p>
      <w:pPr>
        <w:spacing w:after="0" w:line="89" w:lineRule="exact"/>
        <w:rPr>
          <w:rFonts w:ascii="Arial" w:cs="Arial" w:eastAsia="Arial" w:hAnsi="Arial"/>
          <w:sz w:val="18"/>
          <w:szCs w:val="18"/>
          <w:color w:val="auto"/>
        </w:rPr>
      </w:pPr>
    </w:p>
    <w:p>
      <w:pPr>
        <w:ind w:left="1020" w:right="18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89" w:lineRule="exact"/>
        <w:rPr>
          <w:rFonts w:ascii="Arial" w:cs="Arial" w:eastAsia="Arial" w:hAnsi="Arial"/>
          <w:sz w:val="18"/>
          <w:szCs w:val="18"/>
          <w:color w:val="auto"/>
        </w:rPr>
      </w:pPr>
    </w:p>
    <w:p>
      <w:pPr>
        <w:ind w:left="1020" w:right="56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6"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approved products, if any;</w:t>
      </w:r>
    </w:p>
    <w:p>
      <w:pPr>
        <w:spacing w:after="0" w:line="89"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marketing approval, either by collaborating with a partner or, if launched independently, by establishing a sales, marketing and distribution infrastructure;</w:t>
      </w:r>
    </w:p>
    <w:p>
      <w:pPr>
        <w:spacing w:after="0" w:line="89"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 candidates are commercialized;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or procedures using our product candidates from payors;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durability of our treatment or dosing regimen;</w:t>
      </w:r>
    </w:p>
    <w:p>
      <w:pPr>
        <w:spacing w:after="0" w:line="116" w:lineRule="exact"/>
        <w:rPr>
          <w:rFonts w:ascii="Arial" w:cs="Arial" w:eastAsia="Arial" w:hAnsi="Arial"/>
          <w:sz w:val="18"/>
          <w:szCs w:val="18"/>
          <w:color w:val="auto"/>
        </w:rPr>
      </w:pPr>
    </w:p>
    <w:p>
      <w:pPr>
        <w:ind w:left="1020" w:right="54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by physicians, payors and patients of the benefits, safety and efficacy of our product candidates, or any future product candidates, if approved, including relative to alternative and competing treatments;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demand for any of our product candidates that may be approved;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6"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4" w:name="page55"/>
    <w:bookmarkEnd w:id="54"/>
    <w:p>
      <w:pPr>
        <w:jc w:val="both"/>
        <w:spacing w:after="0"/>
        <w:rPr>
          <w:sz w:val="20"/>
          <w:szCs w:val="20"/>
          <w:color w:val="auto"/>
        </w:rPr>
      </w:pPr>
      <w:r>
        <w:rPr>
          <w:rFonts w:ascii="Arial" w:cs="Arial" w:eastAsia="Arial" w:hAnsi="Arial"/>
          <w:sz w:val="18"/>
          <w:szCs w:val="18"/>
          <w:color w:val="auto"/>
        </w:rPr>
        <w:t>those that we currently anticipate, or if there are any delays in any of our or our collaborators’ clinical trials or the development of any of our product candidates. Even if one or more of our product candidates are approved for commercial sale, we anticipate incurring significant costs associated with commercializing any approved product candidate and ongoing compliance efforts.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equity or debt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large as we anticipate, the indication approved by regulatory authorities is narrower than we expect, the reasonably accepted population for treatment is narrowed by competition, physician choice or treatment guidelines or the price and available third-party reimbursement are lower than anticipated, we may not generate significant revenue from sales of such product candidate, even if approved. Even if we do achieve profitability, we may not be able to sustain or increase profitability on a quarterly or annual basis.</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seriously harm our business.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Public health crises such as pandemics or similar outbreaks have affected and could continue to seriously and adversely affect our preclinical and clinical trials, business, financial condition and results of operations.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response to the COVID-19 pandemic, “shelter in place” orders and other public health guidance measures were implemented, and may be implemented again to the extent eased, across much of the United States and Europe, including in the locations of our offices, clinical trial sites, key vendors and partners. We expect that our clinical development program timelines will be negatively affected by COVID-19, which could seriously harm our business. Further, in response to COVID-19 health guidance measures and concerns, we have implemented a work-from-home policy for all staff members excluding those working in certain laboratory and manufacturing functions and those necessary to maintain minimum basic operations. Our increased reliance on personnel working from home may negatively impact productivity, or disrupt, delay or otherwise seriously harm our business. For example, with our personnel working from home, some of our research activities that require our personnel to be in our laboratories will be delayed.</w:t>
      </w:r>
    </w:p>
    <w:p>
      <w:pPr>
        <w:spacing w:after="0" w:line="206" w:lineRule="exact"/>
        <w:rPr>
          <w:sz w:val="20"/>
          <w:szCs w:val="20"/>
          <w:color w:val="auto"/>
        </w:rPr>
      </w:pPr>
    </w:p>
    <w:p>
      <w:pPr>
        <w:jc w:val="both"/>
        <w:ind w:right="140" w:firstLine="684"/>
        <w:spacing w:after="0"/>
        <w:rPr>
          <w:sz w:val="20"/>
          <w:szCs w:val="20"/>
          <w:color w:val="auto"/>
        </w:rPr>
      </w:pPr>
      <w:r>
        <w:rPr>
          <w:rFonts w:ascii="Arial" w:cs="Arial" w:eastAsia="Arial" w:hAnsi="Arial"/>
          <w:sz w:val="18"/>
          <w:szCs w:val="18"/>
          <w:color w:val="auto"/>
        </w:rPr>
        <w:t>As a result of the COVID-19 pandemic, or similar pandemics, and related “shelter in place” orders and other public health guidance measures, we have, and may in the future, experience disruptions that could seriously harm our business. Disruptions due to the COVID-19 pandemic that have and may in the future impact our business include, but are not limited to:</w:t>
      </w:r>
    </w:p>
    <w:p>
      <w:pPr>
        <w:spacing w:after="0" w:line="94" w:lineRule="exact"/>
        <w:rPr>
          <w:sz w:val="20"/>
          <w:szCs w:val="20"/>
          <w:color w:val="auto"/>
        </w:rPr>
      </w:pPr>
    </w:p>
    <w:p>
      <w:pPr>
        <w:ind w:left="1020" w:hanging="504"/>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16"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89" w:lineRule="exact"/>
        <w:rPr>
          <w:rFonts w:ascii="Arial" w:cs="Arial" w:eastAsia="Arial" w:hAnsi="Arial"/>
          <w:sz w:val="18"/>
          <w:szCs w:val="18"/>
          <w:color w:val="auto"/>
        </w:rPr>
      </w:pPr>
    </w:p>
    <w:p>
      <w:pPr>
        <w:ind w:left="1020" w:right="18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rates of patients withdrawing from our clinical trials following enrollment as a result of contracting COVID-19 or other health conditions or being forced to quarantine;</w:t>
      </w:r>
    </w:p>
    <w:p>
      <w:pPr>
        <w:spacing w:after="0" w:line="89" w:lineRule="exact"/>
        <w:rPr>
          <w:rFonts w:ascii="Arial" w:cs="Arial" w:eastAsia="Arial" w:hAnsi="Arial"/>
          <w:sz w:val="18"/>
          <w:szCs w:val="18"/>
          <w:color w:val="auto"/>
        </w:rPr>
      </w:pPr>
    </w:p>
    <w:p>
      <w:pPr>
        <w:ind w:left="1020" w:right="52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and efficacy, safety and translational data collection, processing and analyses, due to limitations imposed on travel;</w:t>
      </w:r>
    </w:p>
    <w:p>
      <w:pPr>
        <w:spacing w:after="0" w:line="89" w:lineRule="exact"/>
        <w:rPr>
          <w:rFonts w:ascii="Arial" w:cs="Arial" w:eastAsia="Arial" w:hAnsi="Arial"/>
          <w:sz w:val="18"/>
          <w:szCs w:val="18"/>
          <w:color w:val="auto"/>
        </w:rPr>
      </w:pPr>
    </w:p>
    <w:p>
      <w:pPr>
        <w:ind w:left="1020" w:right="420" w:hanging="504"/>
        <w:spacing w:after="0" w:line="24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recommendations by federal, state or local governments, employers and others or interruptions of clinical trial subject visits, which may impact the collection and integrity of subject data and clinical trial endpoints;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55" w:name="page56"/>
    <w:bookmarkEnd w:id="55"/>
    <w:p>
      <w:pPr>
        <w:ind w:left="1020" w:right="48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89" w:lineRule="exact"/>
        <w:rPr>
          <w:rFonts w:ascii="Arial" w:cs="Arial" w:eastAsia="Arial" w:hAnsi="Arial"/>
          <w:sz w:val="18"/>
          <w:szCs w:val="18"/>
          <w:color w:val="auto"/>
        </w:rPr>
      </w:pPr>
    </w:p>
    <w:p>
      <w:pPr>
        <w:ind w:left="1020" w:right="48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and unforeseen circumstances at CROs and vendors;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and comparable foreign regulatory agencies;</w:t>
      </w:r>
    </w:p>
    <w:p>
      <w:pPr>
        <w:spacing w:after="0" w:line="116"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raw materials shortages, production slowdowns or stoppages and disruptions in delivery systems;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6" w:lineRule="exact"/>
        <w:rPr>
          <w:rFonts w:ascii="Arial" w:cs="Arial" w:eastAsia="Arial" w:hAnsi="Arial"/>
          <w:sz w:val="18"/>
          <w:szCs w:val="18"/>
          <w:color w:val="auto"/>
        </w:rPr>
      </w:pPr>
    </w:p>
    <w:p>
      <w:pPr>
        <w:ind w:left="1020" w:right="14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93"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to discontinue such clinical trials altogether;</w:t>
      </w:r>
    </w:p>
    <w:p>
      <w:pPr>
        <w:spacing w:after="0" w:line="89" w:lineRule="exact"/>
        <w:rPr>
          <w:rFonts w:ascii="Arial" w:cs="Arial" w:eastAsia="Arial" w:hAnsi="Arial"/>
          <w:sz w:val="18"/>
          <w:szCs w:val="18"/>
          <w:color w:val="auto"/>
        </w:rPr>
      </w:pPr>
    </w:p>
    <w:p>
      <w:pPr>
        <w:ind w:left="1020" w:right="700" w:hanging="504"/>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2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seriously harm our business.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COVID-19 pandemic continues to rapidly evolve, including the spread of new variants that have proven to be more contagious and deadly. The extent to which the COVID-19 pandemic may affect our clinical trials, business, financial condition and results of operations will depend on future developments (such as the prevalence of new variants, difficulties in the vaccine rollout or reluctance of individuals to get inoculated), which are highly uncertain and cannot be predicted at this time. Future developments in these and other areas present material uncertainty and risk with respect to our clinical trials, business, financial condition and results of operations and could seriously harm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initiated or conducted as planned or completed on schedule, if at all. We also cannot be sure that submission of an IND or a clinical trial application (“CTA”) will result in the FDA or other regulatory authority, as applicable, allowing clinical trials to begin in a timely manner, if at all. Moreover, even if these trials begin, issues may arise that could delay,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95" w:lineRule="exact"/>
        <w:rPr>
          <w:sz w:val="20"/>
          <w:szCs w:val="20"/>
          <w:color w:val="auto"/>
        </w:rPr>
      </w:pPr>
    </w:p>
    <w:p>
      <w:pPr>
        <w:ind w:left="1020" w:right="420" w:hanging="504"/>
        <w:spacing w:after="0" w:line="24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6" w:name="page57"/>
    <w:bookmarkEnd w:id="56"/>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implementation of the clinical trials;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impacts from the COVID-19 pandemic as further described elsewhere in these risk factors;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6" w:lineRule="exact"/>
        <w:rPr>
          <w:rFonts w:ascii="Arial" w:cs="Arial" w:eastAsia="Arial" w:hAnsi="Arial"/>
          <w:sz w:val="18"/>
          <w:szCs w:val="18"/>
          <w:color w:val="auto"/>
        </w:rPr>
      </w:pPr>
    </w:p>
    <w:p>
      <w:pPr>
        <w:jc w:val="both"/>
        <w:ind w:left="504" w:right="220"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93"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geographies outside the United States;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identifying, recruiting, and enrolling patients who meet the requirements of our clinical trials;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trial site;</w:t>
      </w:r>
    </w:p>
    <w:p>
      <w:pPr>
        <w:spacing w:after="0" w:line="116" w:lineRule="exact"/>
        <w:rPr>
          <w:rFonts w:ascii="Arial" w:cs="Arial" w:eastAsia="Arial" w:hAnsi="Arial"/>
          <w:sz w:val="18"/>
          <w:szCs w:val="18"/>
          <w:color w:val="auto"/>
        </w:rPr>
      </w:pPr>
    </w:p>
    <w:p>
      <w:pPr>
        <w:ind w:left="504" w:right="880" w:hanging="504"/>
        <w:spacing w:after="0" w:line="245"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9" w:lineRule="exact"/>
        <w:rPr>
          <w:rFonts w:ascii="Arial" w:cs="Arial" w:eastAsia="Arial" w:hAnsi="Arial"/>
          <w:sz w:val="18"/>
          <w:szCs w:val="18"/>
          <w:color w:val="auto"/>
        </w:rPr>
      </w:pPr>
    </w:p>
    <w:p>
      <w:pPr>
        <w:ind w:left="504" w:right="120" w:hanging="504"/>
        <w:spacing w:after="0" w:line="245"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9" w:lineRule="exact"/>
        <w:rPr>
          <w:rFonts w:ascii="Arial" w:cs="Arial" w:eastAsia="Arial" w:hAnsi="Arial"/>
          <w:sz w:val="18"/>
          <w:szCs w:val="18"/>
          <w:color w:val="auto"/>
        </w:rPr>
      </w:pPr>
    </w:p>
    <w:p>
      <w:pPr>
        <w:ind w:left="504" w:right="20" w:hanging="504"/>
        <w:spacing w:after="0" w:line="238"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5" w:lineRule="exact"/>
        <w:rPr>
          <w:rFonts w:ascii="Arial" w:cs="Arial" w:eastAsia="Arial" w:hAnsi="Arial"/>
          <w:sz w:val="18"/>
          <w:szCs w:val="18"/>
          <w:color w:val="auto"/>
        </w:rPr>
      </w:pPr>
    </w:p>
    <w:p>
      <w:pPr>
        <w:ind w:left="504" w:right="140"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3"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w:t>
      </w:r>
    </w:p>
    <w:p>
      <w:pPr>
        <w:spacing w:after="0" w:line="116" w:lineRule="exact"/>
        <w:rPr>
          <w:rFonts w:ascii="Arial" w:cs="Arial" w:eastAsia="Arial" w:hAnsi="Arial"/>
          <w:sz w:val="18"/>
          <w:szCs w:val="18"/>
          <w:color w:val="auto"/>
        </w:rPr>
      </w:pPr>
    </w:p>
    <w:p>
      <w:pPr>
        <w:ind w:left="504" w:right="40" w:hanging="504"/>
        <w:spacing w:after="0" w:line="245"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good clinical practice requirements (“GCP”) or applicable regulatory guidelines in other countries;</w:t>
      </w:r>
    </w:p>
    <w:p>
      <w:pPr>
        <w:spacing w:after="0" w:line="89"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6" w:lineRule="exact"/>
        <w:rPr>
          <w:rFonts w:ascii="Arial" w:cs="Arial" w:eastAsia="Arial" w:hAnsi="Arial"/>
          <w:sz w:val="18"/>
          <w:szCs w:val="18"/>
          <w:color w:val="auto"/>
        </w:rPr>
      </w:pPr>
    </w:p>
    <w:p>
      <w:pPr>
        <w:ind w:left="504" w:hanging="504"/>
        <w:spacing w:after="0"/>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6" w:lineRule="exact"/>
        <w:rPr>
          <w:rFonts w:ascii="Arial" w:cs="Arial" w:eastAsia="Arial" w:hAnsi="Arial"/>
          <w:sz w:val="18"/>
          <w:szCs w:val="18"/>
          <w:color w:val="auto"/>
        </w:rPr>
      </w:pPr>
    </w:p>
    <w:p>
      <w:pPr>
        <w:ind w:left="504" w:hanging="504"/>
        <w:spacing w:after="0" w:line="245"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198"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462" w:right="359" w:bottom="1440" w:gutter="0" w:footer="0" w:header="0"/>
        </w:sectPr>
      </w:pPr>
    </w:p>
    <w:bookmarkStart w:id="57" w:name="page58"/>
    <w:bookmarkEnd w:id="57"/>
    <w:p>
      <w:pPr>
        <w:ind w:left="1020" w:right="20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CMO or by us, and delays or failure by our CMOs or us to make any necessary changes to such manufacturing process;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 and</w:t>
      </w:r>
    </w:p>
    <w:p>
      <w:pPr>
        <w:spacing w:after="0" w:line="116" w:lineRule="exact"/>
        <w:rPr>
          <w:rFonts w:ascii="Arial" w:cs="Arial" w:eastAsia="Arial" w:hAnsi="Arial"/>
          <w:sz w:val="18"/>
          <w:szCs w:val="18"/>
          <w:color w:val="auto"/>
        </w:rPr>
      </w:pPr>
    </w:p>
    <w:p>
      <w:pPr>
        <w:ind w:left="1020" w:right="580" w:hanging="504"/>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public perception or regulatory scrutiny of genetic medicine technology may negatively impact the developmental progress or commercial success of products that we develop alone or with collaborators.</w:t>
      </w:r>
    </w:p>
    <w:p>
      <w:pPr>
        <w:spacing w:after="0" w:line="198"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w:t>
      </w:r>
    </w:p>
    <w:p>
      <w:pPr>
        <w:spacing w:after="0" w:line="19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Patient enrollment, a determinative factor in the timing of clinical trials, is affected by many factors including the severity of and difficulty of diagnosing the disease under investigation, knowledge of the disease in the medical community and availability of effective diagnostic methods, size and distribution of the patient population and process for identifying subjects, access of patients to medical professionals experienced in their disease, our ability to effectively disseminate information about our clinical trials to the patient population and access of patients to such information, eligibility and exclusion criteria for the trial in question, design of the trial protocol, availability, efficacy of, and our ability to compete with approved and standard of care therapies or other clinical trials for the disease or condition under investigation, perceived risks and benefits of the product candidate under trial or testing, availability of genetic testing for potential patients, efforts to facilitate timely enrollment in clinical trials, patient referral practices of physicians, ability to obtain and maintain subject consent, the risk that enrolled subjects will drop out before completion of the trial, the ability to monitor patients adequately during and after treatment, the time and financial commitments required of patients to enroll in our trials beyond the costs covered by the company, and the proximity and availability of and access to clinical trial sites for prospective patients. Furthermore, we rely on CROs and clinical trial sites to ensure the proper and timely conduct of our clinical trials, and while we have agreements governing their committed activities, we have limited influence over their actual performance.</w:t>
      </w:r>
    </w:p>
    <w:p>
      <w:pPr>
        <w:spacing w:after="0" w:line="21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20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and could seriously harm our business.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58" w:name="page59"/>
    <w:bookmarkEnd w:id="58"/>
    <w:p>
      <w:pPr>
        <w:jc w:val="both"/>
        <w:spacing w:after="0" w:line="252" w:lineRule="auto"/>
        <w:rPr>
          <w:sz w:val="20"/>
          <w:szCs w:val="20"/>
          <w:color w:val="auto"/>
        </w:rPr>
      </w:pPr>
      <w:r>
        <w:rPr>
          <w:rFonts w:ascii="Arial" w:cs="Arial" w:eastAsia="Arial" w:hAnsi="Arial"/>
          <w:sz w:val="18"/>
          <w:szCs w:val="18"/>
          <w:b w:val="1"/>
          <w:bCs w:val="1"/>
          <w:i w:val="1"/>
          <w:iCs w:val="1"/>
          <w:color w:val="auto"/>
        </w:rPr>
        <w:t>The limited number of patients who have the diseases for which our product candidates are being studied may make it more difficult for us to enroll or complete clinical trials or may result in findings in our clinical trials that do not reach levels of statistical significance sufficient for marketing approval.</w:t>
      </w:r>
    </w:p>
    <w:p>
      <w:pPr>
        <w:spacing w:after="0" w:line="19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Many of the conditions for which we plan to evaluate our current product candidates in clinical trials are rare genetic diseases. Accordingly, there are limited patient pools from which to draw for clinical trials. In addition to the rarity of these diseases, the eligibility criteria of our clinical trials will further limit the pool of available study participants as we will require that patients have specific characteristics that we can measure to assure their disease is either severe enough or not too advanced to include them in a trial. We or our collaborators may not be able to initiate or continue clinical trials on a timely basis or at all for any of our product candidates if we or our collaborators are unable to locate and enroll a sufficient number of eligible patients to participate in the trials as required by applicable regulations or as needed to provide appropriate statistical power for a given trial. Similarly, because many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Research and development of biopharmaceutical products is inherently risky. We cannot give any assurance that any of our product candidates will receive regulatory approval, which is necessary before they can be commercialized or if they will ever be successfully commercialized.</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94" w:lineRule="exact"/>
        <w:rPr>
          <w:sz w:val="20"/>
          <w:szCs w:val="20"/>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our clinical development plans due to the COVID-19 pandemic;</w:t>
      </w:r>
    </w:p>
    <w:p>
      <w:pPr>
        <w:spacing w:after="0" w:line="116"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does not meet applicable regulatory criteria;</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6"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Therapeutic Vector Evolution platform technology obsolete or less attractive;</w:t>
      </w:r>
    </w:p>
    <w:p>
      <w:pPr>
        <w:spacing w:after="0" w:line="89" w:lineRule="exact"/>
        <w:rPr>
          <w:rFonts w:ascii="Arial" w:cs="Arial" w:eastAsia="Arial" w:hAnsi="Arial"/>
          <w:sz w:val="18"/>
          <w:szCs w:val="18"/>
          <w:color w:val="auto"/>
        </w:rPr>
      </w:pPr>
    </w:p>
    <w:p>
      <w:pPr>
        <w:ind w:left="1020" w:right="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candidates and Therapeutic Vector Evolution platform technology that we develop may not be sufficiently covered by intellectual property for which we hold exclusive rights or may be covered by third-party patents or other intellectual property or exclusive rights;</w:t>
      </w:r>
    </w:p>
    <w:p>
      <w:pPr>
        <w:spacing w:after="0" w:line="93" w:lineRule="exact"/>
        <w:rPr>
          <w:rFonts w:ascii="Arial" w:cs="Arial" w:eastAsia="Arial" w:hAnsi="Arial"/>
          <w:sz w:val="18"/>
          <w:szCs w:val="18"/>
          <w:color w:val="auto"/>
        </w:rPr>
      </w:pPr>
    </w:p>
    <w:p>
      <w:pPr>
        <w:ind w:left="1020" w:right="64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6" w:lineRule="exact"/>
        <w:rPr>
          <w:rFonts w:ascii="Arial" w:cs="Arial" w:eastAsia="Arial" w:hAnsi="Arial"/>
          <w:sz w:val="18"/>
          <w:szCs w:val="18"/>
          <w:color w:val="auto"/>
        </w:rPr>
      </w:pPr>
    </w:p>
    <w:p>
      <w:pPr>
        <w:ind w:left="1020" w:right="900" w:hanging="504"/>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If any of these events occur, we or our collaborators may be forced to abandon our development efforts for a product candidate or candidates, which would seriously harm our business. Failure of a product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9" w:name="page60"/>
    <w:bookmarkEnd w:id="59"/>
    <w:p>
      <w:pPr>
        <w:jc w:val="both"/>
        <w:spacing w:after="0"/>
        <w:rPr>
          <w:sz w:val="20"/>
          <w:szCs w:val="20"/>
          <w:color w:val="auto"/>
        </w:rPr>
      </w:pPr>
      <w:r>
        <w:rPr>
          <w:rFonts w:ascii="Arial" w:cs="Arial" w:eastAsia="Arial" w:hAnsi="Arial"/>
          <w:sz w:val="18"/>
          <w:szCs w:val="18"/>
          <w:color w:val="auto"/>
        </w:rPr>
        <w:t>candidate may occur at any stage of preclinical or clinical development, and, because our product candidates and our Therapeutic Vector Evolution platform technology are in an early stage of development, there is a relatively higher risk of failure, and we may never succeed in developing marketable products or generating product revenue.</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may not be successful in our efforts to further develop our Therapeutic Vector Evolution platform technology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trials that we may conduct may not demonstrate the efficacy and safety necessary to obtain regulatory approval to market our product candidates. If the results of our ongoing or future clinical trials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20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If any of our product candidates successfully completes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seriously harm our business. To obtain regulatory approval in countries outside the United States, we must comply with numerous and varying regulatory requirements of such other countries regarding safety, efficacy, purity, potency, chemistry, manufacturing and controls, clinical trials, commercial sales, pricing and distribution of our product candidates. We may also rely on our collaborators or collaboration partners to conduct the required activities to support an application for regulatory approval, and to seek approval, for one or more of our product candidates. We cannot be sure that our collaborators or collaboration partners will conduct these activities successfully or do so within the timeframe we desire. Even if we (or our collaborators or collaboration partners) are successful in obtaining approval in one jurisdiction, we cannot ensure that we will obtain approval in any other jurisdictions. Failure to obtain approval for our product candidates in multiple jurisdictions will seriously harm our business.</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Any approval we may obtain could be for indications or patient populations that are not as broad as intended or desired or may require labeling that includes significant use or distribution restrictions or safety warnings. We may also be required to perform additional or unanticipated clinical trials to obtain approval or be subject to additional post-marketing testing requirements to maintain approval. In addition, regulatory authorities may withdraw their approval of a product or impose restrictions on its distribution, such as in the form of a REMS. The failure to obtain timely regulatory approval of product candidates, any product marketing limitations or a product withdrawal would seriously harm our business.</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0" w:name="page61"/>
    <w:bookmarkEnd w:id="60"/>
    <w:p>
      <w:pPr>
        <w:jc w:val="both"/>
        <w:spacing w:after="0" w:line="252"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seriously harm our business.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Separately, in response to the COVID-19,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seriously harm our business.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of our product candidates, which would prevent, delay or limit the scope of regulatory approval and commercialization.</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Before obtaining regulatory approvals for the commercial sale of any of our product candidates, we or our collaborators must demonstrate through lengthy, complex and expensive preclinical studies and clinical trials that our product candidates are both safe and effective for use in each target indication. Further,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1" w:name="page62"/>
    <w:bookmarkEnd w:id="61"/>
    <w:p>
      <w:pPr>
        <w:jc w:val="both"/>
        <w:ind w:firstLine="644"/>
        <w:spacing w:after="0" w:line="238" w:lineRule="auto"/>
        <w:rPr>
          <w:sz w:val="20"/>
          <w:szCs w:val="20"/>
          <w:color w:val="auto"/>
        </w:rPr>
      </w:pPr>
      <w:r>
        <w:rPr>
          <w:rFonts w:ascii="Arial" w:cs="Arial" w:eastAsia="Arial" w:hAnsi="Arial"/>
          <w:sz w:val="18"/>
          <w:szCs w:val="18"/>
          <w:color w:val="auto"/>
        </w:rPr>
        <w:t>We have limited experience in designing clinical trials and may be unable to design and execute a clinical trial to support marketing approval. We cannot be certain that our ongoing and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Interim, “top-line” and preliminary data from studies or trials that we announce or publish from time to time may change as more data become available and are subject to audit and verification procedures that could result in material changes in the final data.</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From time to time, we publicly disclose top-line or preliminary data from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From time to time, we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seriously harm our business.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final results, or if others, including regulatory authorities, disagree with the conclusions reached, our ability to obtain approval for, and commercialize, product candidates may be harmed, which could seriously harm our business.</w:t>
      </w:r>
    </w:p>
    <w:p>
      <w:pPr>
        <w:spacing w:after="0" w:line="18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One of our strategies is to identify and pursue preclinical and clinical development and commercialization of additional product candidates through our Therapeutic Vector Evolution platform technology. Our Therapeutic Vector Evolution platform technology may not produce a pipeline of viable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2" w:name="page63"/>
    <w:bookmarkEnd w:id="62"/>
    <w:p>
      <w:pPr>
        <w:jc w:val="both"/>
        <w:spacing w:after="0" w:line="237" w:lineRule="auto"/>
        <w:rPr>
          <w:sz w:val="20"/>
          <w:szCs w:val="20"/>
          <w:color w:val="auto"/>
        </w:rPr>
      </w:pPr>
      <w:r>
        <w:rPr>
          <w:rFonts w:ascii="Arial" w:cs="Arial" w:eastAsia="Arial" w:hAnsi="Arial"/>
          <w:sz w:val="18"/>
          <w:szCs w:val="18"/>
          <w:color w:val="auto"/>
        </w:rPr>
        <w:t>product candidates, or our competitors may develop platform technologies that render our Therapeutic Vector Evolution platform technology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and obtaining regulatory approval and commercializing additional product candidates will require substantial funding and is prone to the risks of failure inherent in drug development. If we are unable to successfully identify, acquire, develop and commercialize additional product candidates, our commercial opportunity may be limited.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There are a number of large pharmaceutical and biotechnology companies that are currently pursuing the development of products for the treatment of the indications for which we have product candidates, including XLRP, choroideremia, Fabry disease, wet AMD, and cystic fibrosis lung disease. Certain of our competitors have commercially approved products for the treatment of the diseases that we are pursuing or may pursue in the future, including Biogen, Roche, Sanofi, Takeda and Vertex. These drugs are well established therapies and are widely accepted by physicians, patients and third-party payors, which may make it difficult to convince these parties to switch to our product candidates. Companies that we are aware are developing therapeutics in the ophthalmology, cardiology and pulmonology disease areas include large companies with significant financial resources, such as Allergan, Biogen, Novartis, Pfizer, Regeneron, Roche, Sanofi, Takeda and Vertex, and biopharmaceutical companies such as Adverum, Amicus, Kodiak Sciences, Krystal, REGENXBIO, Sangamo, and Spirovant. In addition to competition from other companies targeting ophthalmology, pulmonology, and cardiology any products we may develop may also face competition from other types of therapies, such as gene-editing therapies and drug delivery devices.</w:t>
      </w:r>
    </w:p>
    <w:p>
      <w:pPr>
        <w:spacing w:after="0" w:line="20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ophthalmology, cardiology and pulmonology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potential product candidates uneconomical or obsolete, and we may not be successful in marketing against competitors any product candidates we may develop.</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3" w:name="page64"/>
    <w:bookmarkEnd w:id="63"/>
    <w:p>
      <w:pPr>
        <w:jc w:val="both"/>
        <w:spacing w:after="0" w:line="252"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9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03" w:lineRule="exact"/>
        <w:rPr>
          <w:sz w:val="20"/>
          <w:szCs w:val="20"/>
          <w:color w:val="auto"/>
        </w:rPr>
      </w:pPr>
    </w:p>
    <w:p>
      <w:pPr>
        <w:ind w:left="1020" w:right="60" w:hanging="504"/>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compliance, customer service, medical affairs and other support personnel;</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build a commercial infrastructure due to the impacts of COVID-19;</w:t>
      </w:r>
    </w:p>
    <w:p>
      <w:pPr>
        <w:spacing w:after="0" w:line="116" w:lineRule="exact"/>
        <w:rPr>
          <w:rFonts w:ascii="Arial" w:cs="Arial" w:eastAsia="Arial" w:hAnsi="Arial"/>
          <w:sz w:val="18"/>
          <w:szCs w:val="18"/>
          <w:color w:val="auto"/>
        </w:rPr>
      </w:pPr>
    </w:p>
    <w:p>
      <w:pPr>
        <w:ind w:left="1020" w:right="400" w:hanging="504"/>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approved products;</w:t>
      </w:r>
    </w:p>
    <w:p>
      <w:pPr>
        <w:spacing w:after="0" w:line="89" w:lineRule="exact"/>
        <w:rPr>
          <w:rFonts w:ascii="Arial" w:cs="Arial" w:eastAsia="Arial" w:hAnsi="Arial"/>
          <w:sz w:val="18"/>
          <w:szCs w:val="18"/>
          <w:color w:val="auto"/>
        </w:rPr>
      </w:pPr>
    </w:p>
    <w:p>
      <w:pPr>
        <w:ind w:left="1020" w:right="780" w:hanging="504"/>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6"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4" w:name="page65"/>
    <w:bookmarkEnd w:id="64"/>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third-party payors and others in the medical community. The degree of market acceptance of any product candidates we may develop, if approved for commercial sale, will depend on a number of factors, including:</w:t>
      </w:r>
    </w:p>
    <w:p>
      <w:pPr>
        <w:spacing w:after="0" w:line="97" w:lineRule="exact"/>
        <w:rPr>
          <w:sz w:val="20"/>
          <w:szCs w:val="20"/>
          <w:color w:val="auto"/>
        </w:rPr>
      </w:pPr>
    </w:p>
    <w:p>
      <w:pPr>
        <w:ind w:left="1020" w:right="520" w:hanging="504"/>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third-party coverage or reimbursement;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or other regulatory agencies;</w:t>
      </w:r>
    </w:p>
    <w:p>
      <w:pPr>
        <w:spacing w:after="0" w:line="116"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comparable foreign regulatory authorities, including any limitations, contraindications or warnings contained in a product’s approved labeling;</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 and our business could be seriously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1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seriously harm our business.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currently have a development, manufacturing and testing agreement and cooperation agreement with Catalent to manufacture supplies of our product candidates in the future. Our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65" w:name="page66"/>
    <w:bookmarkEnd w:id="65"/>
    <w:p>
      <w:pPr>
        <w:jc w:val="both"/>
        <w:spacing w:after="0" w:line="238" w:lineRule="auto"/>
        <w:rPr>
          <w:sz w:val="20"/>
          <w:szCs w:val="20"/>
          <w:color w:val="auto"/>
        </w:rPr>
      </w:pPr>
      <w:r>
        <w:rPr>
          <w:rFonts w:ascii="Arial" w:cs="Arial" w:eastAsia="Arial" w:hAnsi="Arial"/>
          <w:sz w:val="18"/>
          <w:szCs w:val="18"/>
          <w:color w:val="auto"/>
        </w:rPr>
        <w:t>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standards or specifications with consistent and acceptable production yields and costs.</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addition,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20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0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Any problems in our manufacturing process or the facilities with which we contract could make us a less attractive collaborator for potential partners, including larger pharmaceutical companies, which could limit our access to additional attractive development programs. Problems in third-party manufacturing processes or facilities also could restrict our ability to meet market demand for our products. Additionally, should our agreement with Catalent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Delays in obtaining regulatory approval of our manufacturing process or disruptions in our manufacturing process may delay or disrupt our commercialization efforts.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Before we can begin to commercially manufacture our product candidates in third-party or our own facilities, we must obtain regulatory approval from the FDA to market our product using the manufacturing process and facility we proposed in our marketing application. In addition, we must pass a pre-approval inspection of our manufacturing facility by the FDA before any of our product candidates can obtain marketing approval, if ever. In order to obtain approval of a BLA for our product candidates, we will need to ensure that all of our manufacturing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Delays in developing our manufacturing capabilities or failure to achieve operating efficiencies from it may require us to devote additional resources and management time to manufacturing operations and may delay our product development timelines.</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recently completed the build out of approximately 17,000 square feet of laboratory and manufacturing space at our headquarters in Emeryville, California, a large portion of which we plan to devote to manufacturing activities for our clinical trials under cGMP. We may face delays in the production of clinical supply at our manufacturing facility and cannot guarantee when our facility will be able to produce sufficient quantities of product candidates needed to support our planned clinical trials. Any delays in developing our internal manufacturing capabilities, including any delays due to the COVID-19 pandemic,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6" w:name="page67"/>
    <w:bookmarkEnd w:id="66"/>
    <w:p>
      <w:pPr>
        <w:jc w:val="both"/>
        <w:spacing w:after="0" w:line="236" w:lineRule="auto"/>
        <w:rPr>
          <w:sz w:val="20"/>
          <w:szCs w:val="20"/>
          <w:color w:val="auto"/>
        </w:rPr>
      </w:pPr>
      <w:r>
        <w:rPr>
          <w:rFonts w:ascii="Arial" w:cs="Arial" w:eastAsia="Arial" w:hAnsi="Arial"/>
          <w:sz w:val="18"/>
          <w:szCs w:val="18"/>
          <w:color w:val="auto"/>
        </w:rPr>
        <w:t>may disrupt or delay the supply of our product candidates if we have not maintained a sufficient back-up supply of such product candidates through third-party manufacturers. Moreover, changing manufacturing facilities during the clinical development process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will further need to comply with the FDA’s and applicable foreign regulatory authorities’ cGMP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or acquire the internal expertise and resources necessary for compliance with these requirements.</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order to develop internal manufacturing expertise, we may be forced to devote greater resources and management time than anticipated,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 or result in difficulties in maintaining compliance with applicable regulatory requirements. Any such problems could result in the delay, prevention or impairment of clinical development and commercialization of our product candidates and would seriously harm our business.</w:t>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product manufacturing for certain of our product candidates, and these third parties may not perform satisfactorily.</w:t>
      </w:r>
    </w:p>
    <w:p>
      <w:pPr>
        <w:spacing w:after="0" w:line="17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Although we are in process of expanding internal manufacturing capabilities, we currently rely, and expect to continue to rely, on third parties for the production of some of our preclinical study and planned clinical trial materials and, therefore, we can control only certain aspects of their activities. The facilities used by us and our contract manufacturers to manufacture certain of our product candidates must be reviewed by the FDA pursuant to inspections that will be conducted after we submit our BLA to the FDA. We do not control the manufacturing process of, and are completely dependent on, our contract manufacturing partners for compliance with the cGMP for manufacture of our products. If we or our contract manufacturers cannot successfully manufacture material that conforms to our specifications and the strict regulatory requirements of the FDA or others, we will not be able to obtain and/or maintain regulatory approval for our products as manufactured at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11"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addition, we rely on additional third parties to manufacture plasmids used in the manufacture of our product candidates and to perform quality testing, and reliance on these third parties entails risks to which we would not be subject if we manufactured the plasmids ourselves, including:</w:t>
      </w:r>
    </w:p>
    <w:p>
      <w:pPr>
        <w:spacing w:after="0" w:line="94" w:lineRule="exact"/>
        <w:rPr>
          <w:sz w:val="20"/>
          <w:szCs w:val="20"/>
          <w:color w:val="auto"/>
        </w:rPr>
      </w:pPr>
    </w:p>
    <w:p>
      <w:pPr>
        <w:ind w:left="1020" w:hanging="504"/>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control for certain aspects of manufacturing activities;</w:t>
      </w:r>
    </w:p>
    <w:p>
      <w:pPr>
        <w:spacing w:after="0" w:line="116"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or nonrenewal of manufacturing and service agreements with third parties in a manner or at a time that is costly or damaging to us; and</w:t>
      </w:r>
    </w:p>
    <w:p>
      <w:pPr>
        <w:spacing w:after="0" w:line="89" w:lineRule="exact"/>
        <w:rPr>
          <w:rFonts w:ascii="Arial" w:cs="Arial" w:eastAsia="Arial" w:hAnsi="Arial"/>
          <w:sz w:val="18"/>
          <w:szCs w:val="18"/>
          <w:color w:val="auto"/>
        </w:rPr>
      </w:pPr>
    </w:p>
    <w:p>
      <w:pPr>
        <w:ind w:left="1020" w:right="600" w:hanging="504"/>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and service providers caused by conditions unrelated to our business or operations, including the bankruptcy of the manufacturer or service provider.</w:t>
      </w:r>
    </w:p>
    <w:p>
      <w:pPr>
        <w:spacing w:after="0" w:line="198" w:lineRule="exact"/>
        <w:rPr>
          <w:sz w:val="20"/>
          <w:szCs w:val="20"/>
          <w:color w:val="auto"/>
        </w:rPr>
      </w:pPr>
    </w:p>
    <w:p>
      <w:pPr>
        <w:ind w:firstLine="644"/>
        <w:spacing w:after="0" w:line="245"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future product candidates. Some of these events could be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7" w:name="page68"/>
    <w:bookmarkEnd w:id="67"/>
    <w:p>
      <w:pPr>
        <w:jc w:val="both"/>
        <w:spacing w:after="0" w:line="245" w:lineRule="auto"/>
        <w:rPr>
          <w:sz w:val="20"/>
          <w:szCs w:val="20"/>
          <w:color w:val="auto"/>
        </w:rPr>
      </w:pPr>
      <w:r>
        <w:rPr>
          <w:rFonts w:ascii="Arial" w:cs="Arial" w:eastAsia="Arial" w:hAnsi="Arial"/>
          <w:sz w:val="18"/>
          <w:szCs w:val="18"/>
          <w:color w:val="auto"/>
        </w:rPr>
        <w:t>the basis for FDA or European Union Member State regulatory authority action, including injunction, recall, seizure or total or partial suspension of product manufacture.</w:t>
      </w:r>
    </w:p>
    <w:p>
      <w:pPr>
        <w:spacing w:after="0" w:line="176"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raw materials or failure of any of our key suppliers to deliver necessary components could result in delays in our research studies, preclinical, and clinical development or marketing schedules.</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20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Some of the raw materials required in our manufacturing process, such as plasmids,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seriously harm our business.</w:t>
      </w:r>
    </w:p>
    <w:p>
      <w:pPr>
        <w:spacing w:after="0" w:line="18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and the loss of these third-party suppliers or their inability to supply us with adequate raw materials could seriously harm our business.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rely on third-party suppliers for the raw materials required for the production of our product candidates.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regulatory authorities are lengthy, expensive, time consuming, and inherently unpredictable. If we are ultimately unable to obtain regulatory approval for our product candidates, we will be unable to generate product revenue and our business will be seriously harmed.</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our existing product candidates or any product candidates we may seek to develop in the future will ever obtain regulatory approval.</w:t>
      </w:r>
    </w:p>
    <w:p>
      <w:pPr>
        <w:spacing w:after="0" w:line="211" w:lineRule="exact"/>
        <w:rPr>
          <w:sz w:val="20"/>
          <w:szCs w:val="20"/>
          <w:color w:val="auto"/>
        </w:rPr>
      </w:pPr>
    </w:p>
    <w:p>
      <w:pPr>
        <w:ind w:right="20" w:firstLine="644"/>
        <w:spacing w:after="0" w:line="24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90" w:lineRule="exact"/>
        <w:rPr>
          <w:sz w:val="20"/>
          <w:szCs w:val="20"/>
          <w:color w:val="auto"/>
        </w:rPr>
      </w:pPr>
    </w:p>
    <w:p>
      <w:pPr>
        <w:ind w:left="1020" w:right="52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results of our or our collaborators’ clinical trials;</w:t>
      </w:r>
    </w:p>
    <w:p>
      <w:pPr>
        <w:spacing w:after="0" w:line="89" w:lineRule="exact"/>
        <w:rPr>
          <w:rFonts w:ascii="Arial" w:cs="Arial" w:eastAsia="Arial" w:hAnsi="Arial"/>
          <w:sz w:val="18"/>
          <w:szCs w:val="18"/>
          <w:color w:val="auto"/>
        </w:rPr>
      </w:pPr>
    </w:p>
    <w:p>
      <w:pPr>
        <w:jc w:val="both"/>
        <w:ind w:left="1020" w:right="40" w:hanging="504"/>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3"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9"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FDA, or comparable foreign regulatory authorities that a product candidate’s clinical and other benefits outweigh its safety risks;</w:t>
      </w:r>
    </w:p>
    <w:p>
      <w:pPr>
        <w:spacing w:after="0" w:line="89" w:lineRule="exact"/>
        <w:rPr>
          <w:rFonts w:ascii="Arial" w:cs="Arial" w:eastAsia="Arial" w:hAnsi="Arial"/>
          <w:sz w:val="18"/>
          <w:szCs w:val="18"/>
          <w:color w:val="auto"/>
        </w:rPr>
      </w:pPr>
    </w:p>
    <w:p>
      <w:pPr>
        <w:ind w:left="1020" w:right="48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or our collaborators’ interpretation of data from preclinical studies or clinical trials;</w:t>
      </w:r>
    </w:p>
    <w:p>
      <w:pPr>
        <w:spacing w:after="0" w:line="89"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89" w:lineRule="exact"/>
        <w:rPr>
          <w:rFonts w:ascii="Arial" w:cs="Arial" w:eastAsia="Arial" w:hAnsi="Arial"/>
          <w:sz w:val="18"/>
          <w:szCs w:val="18"/>
          <w:color w:val="auto"/>
        </w:rPr>
      </w:pPr>
    </w:p>
    <w:p>
      <w:pPr>
        <w:ind w:left="1020" w:right="42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9" w:lineRule="exact"/>
        <w:rPr>
          <w:rFonts w:ascii="Arial" w:cs="Arial" w:eastAsia="Arial" w:hAnsi="Arial"/>
          <w:sz w:val="18"/>
          <w:szCs w:val="18"/>
          <w:color w:val="auto"/>
        </w:rPr>
      </w:pPr>
    </w:p>
    <w:p>
      <w:pPr>
        <w:ind w:left="1020" w:right="660" w:hanging="504"/>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198"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addition, even if we or our collaborators were to obtain approval, regulatory authorities may approve any of our product candidates for fewer or more limited indications than we request, may impose significant limitations in the form of narrow indications, warnings, or a REMS.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20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We may in the future seek an accelerated approval for one or more of our product candidates. Under the accelerated approval program, the FDA may grant accelerated approval to a product candidate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69" w:name="page70"/>
    <w:bookmarkEnd w:id="69"/>
    <w:p>
      <w:pPr>
        <w:jc w:val="both"/>
        <w:spacing w:after="0" w:line="235" w:lineRule="auto"/>
        <w:rPr>
          <w:sz w:val="20"/>
          <w:szCs w:val="20"/>
          <w:color w:val="auto"/>
        </w:rPr>
      </w:pPr>
      <w:r>
        <w:rPr>
          <w:rFonts w:ascii="Arial" w:cs="Arial" w:eastAsia="Arial" w:hAnsi="Arial"/>
          <w:sz w:val="18"/>
          <w:szCs w:val="18"/>
          <w:color w:val="auto"/>
        </w:rPr>
        <w:t>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l confirmatory studies to verify and describe the drug’s clinical benefit. If such confirmatory studies fail to confirm the drug’s clinical benefit, or if the sponsor fails to conduct required confirmatory studies in a timely manner, the FDA may withdraw its approval of the drug on an expedited basis.</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any of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Even if we or our collaborators obtain regulatory approval for a product candidate, our products will remain subject to regulatory scrutiny.</w:t>
      </w:r>
    </w:p>
    <w:p>
      <w:pPr>
        <w:spacing w:after="0" w:line="17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will have to comply with requirements concerning advertising and promotion for our products. Promotional communications with respect to prescription drugs and biologics are subject to a variety of legal and regulatory restrictions and must be consistent with the information in the product’s approved label. As such, we may not promote our products “off-label” for indications or uses for which they do not have approval, though we may share truthful and not misleading information that is otherwise consistent with our product’s approved labeling. The holder of an approved application must submit new or supplemental applications and obtain approval for certain changes to the approved product, product labeling, or manufacturing process. We could also be asked to conduct post-marketing clinical studies to verify the safety and efficacy of our products in general or in specific patient subsets. An unsuccessful post-marketing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study or failure to complete such a study could result in the withdrawal of marketing approval or label restrictions.</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96" w:lineRule="exact"/>
        <w:rPr>
          <w:sz w:val="20"/>
          <w:szCs w:val="20"/>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manufacturing facility or our contract manufacturers’ facilities;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have received Fast Track designation for 4D-310 for the treatment of Fabry disease, and for 4D-125 for the treatment of patients with inherited retinal dystrophies due to defects in the RPGR gene, including XLRP, and we may seek Fast Track designation for certain future product candidates. However, we may not be able to obtain such designations, and there is no guarantee that 4D-310 or 4D-125 will experience a faster regulatory review or obtain regulatory approval.</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disease condition, the product sponsor may apply for Fast Track designation.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We have received Fast Track designation for 4D-310 for the treatment of Fabry disease, and for 4D-125 for the treatment of patients with inherited retinal dystrophies due to defects in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1" w:name="page72"/>
    <w:bookmarkEnd w:id="71"/>
    <w:p>
      <w:pPr>
        <w:jc w:val="both"/>
        <w:spacing w:after="0" w:line="238" w:lineRule="auto"/>
        <w:rPr>
          <w:sz w:val="20"/>
          <w:szCs w:val="20"/>
          <w:color w:val="auto"/>
        </w:rPr>
      </w:pPr>
      <w:r>
        <w:rPr>
          <w:rFonts w:ascii="Arial" w:cs="Arial" w:eastAsia="Arial" w:hAnsi="Arial"/>
          <w:sz w:val="18"/>
          <w:szCs w:val="18"/>
          <w:color w:val="auto"/>
        </w:rPr>
        <w:t>RPGR gene, including XLRP and we may receive Fast Track designation for other product candidates in the future; however, we may not experience a faster development, review or approval process, and receipt of the designation does not increase the likelihood that the FDA will approve 4D-310 or 4D-125 for any indication. In addition, the FDA may rescind the Fast Track designation if it believes that the designation is no longer supported by data from our clinical development program.</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have received orphan drug designation for 4D-110 for the treatment of choroideremia as well as 4D-125 for the treatment of patients with inherited retinal dystrophies due to defects in the RPGR gene, including XLRP, and for 4D-310 for the treatment of Fabry disease, and we may seek orphan drug designation for certain future product candidates. However, we may be unable to obtain such designations or to maintain the benefits associated with orphan drug designation, including market exclusivity, which may cause our revenue, if any, to be reduced.</w:t>
      </w:r>
    </w:p>
    <w:p>
      <w:pPr>
        <w:spacing w:after="0" w:line="201"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have received orphan drug designation in the United States for 4D-110 for the treatment of choroideremia and for 4D-310 for the treatment of Fabry disease. In the European Union, we have received orphan drug designation for 4D-125 for the treatment of patients with inherited retinal dystrophies due to defects in the RPGR gene, including XLRP. Although we may seek orphan product designation for some or all of our other product candidates, we may never receive such designations. 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1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if a product receives the first FDA approval for the disease or condition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 disease or condition broader than the orphan designated disease or condition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20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with</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2" w:name="page73"/>
    <w:bookmarkEnd w:id="72"/>
    <w:p>
      <w:pPr>
        <w:jc w:val="both"/>
        <w:spacing w:after="0"/>
        <w:rPr>
          <w:sz w:val="20"/>
          <w:szCs w:val="20"/>
          <w:color w:val="auto"/>
        </w:rPr>
      </w:pPr>
      <w:r>
        <w:rPr>
          <w:rFonts w:ascii="Arial" w:cs="Arial" w:eastAsia="Arial" w:hAnsi="Arial"/>
          <w:sz w:val="18"/>
          <w:szCs w:val="18"/>
          <w:color w:val="auto"/>
        </w:rPr>
        <w:t>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candidates and seriously harm our business.</w:t>
      </w:r>
    </w:p>
    <w:p>
      <w:pPr>
        <w:spacing w:after="0" w:line="19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European Union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 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seriously harm our business.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to commercialize our product candidates and may affect the prices we may set.</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the United States, the European Union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(collectively the “ACA”) was enacted, which substantially changed the way healthcare is financed by both governmental and private payors. Among the provisions of the ACA, those of greatest importance to the pharmaceutical and biotechnology industries include the following:</w:t>
      </w:r>
    </w:p>
    <w:p>
      <w:pPr>
        <w:spacing w:after="0" w:line="99" w:lineRule="exact"/>
        <w:rPr>
          <w:sz w:val="20"/>
          <w:szCs w:val="20"/>
          <w:color w:val="auto"/>
        </w:rPr>
      </w:pPr>
    </w:p>
    <w:p>
      <w:pPr>
        <w:ind w:left="1020" w:right="40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3" w:lineRule="exact"/>
        <w:rPr>
          <w:rFonts w:ascii="Arial" w:cs="Arial" w:eastAsia="Arial" w:hAnsi="Arial"/>
          <w:sz w:val="18"/>
          <w:szCs w:val="18"/>
          <w:color w:val="auto"/>
        </w:rPr>
      </w:pPr>
    </w:p>
    <w:p>
      <w:pPr>
        <w:ind w:left="1020" w:right="40" w:hanging="504"/>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93" w:lineRule="exact"/>
        <w:rPr>
          <w:rFonts w:ascii="Arial" w:cs="Arial" w:eastAsia="Arial" w:hAnsi="Arial"/>
          <w:sz w:val="18"/>
          <w:szCs w:val="18"/>
          <w:color w:val="auto"/>
        </w:rPr>
      </w:pPr>
    </w:p>
    <w:p>
      <w:pPr>
        <w:ind w:left="1020" w:right="680" w:hanging="504"/>
        <w:spacing w:after="0" w:line="24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to the minimum Medicaid rebates owed by manufacturers under the Medicaid Drug Rebate Program and an extension the rebate program to individuals enrolled in Medicaid managed care organizations;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3" w:name="page74"/>
    <w:bookmarkEnd w:id="73"/>
    <w:p>
      <w:pPr>
        <w:ind w:left="1020" w:right="2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9" w:lineRule="exact"/>
        <w:rPr>
          <w:rFonts w:ascii="Arial" w:cs="Arial" w:eastAsia="Arial" w:hAnsi="Arial"/>
          <w:sz w:val="18"/>
          <w:szCs w:val="18"/>
          <w:color w:val="auto"/>
        </w:rPr>
      </w:pPr>
    </w:p>
    <w:p>
      <w:pPr>
        <w:ind w:left="1020" w:right="38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6" w:lineRule="exact"/>
        <w:rPr>
          <w:rFonts w:ascii="Arial" w:cs="Arial" w:eastAsia="Arial" w:hAnsi="Arial"/>
          <w:sz w:val="18"/>
          <w:szCs w:val="18"/>
          <w:color w:val="auto"/>
        </w:rPr>
      </w:pPr>
    </w:p>
    <w:p>
      <w:pPr>
        <w:ind w:left="1020" w:right="780" w:hanging="504"/>
        <w:spacing w:after="0" w:line="24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9" w:lineRule="exact"/>
        <w:rPr>
          <w:rFonts w:ascii="Arial" w:cs="Arial" w:eastAsia="Arial" w:hAnsi="Arial"/>
          <w:sz w:val="18"/>
          <w:szCs w:val="18"/>
          <w:color w:val="auto"/>
        </w:rPr>
      </w:pPr>
    </w:p>
    <w:p>
      <w:pPr>
        <w:ind w:left="1020" w:right="160" w:hanging="504"/>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the Centers for Medicare &amp; Medicaid Services (“CMS”) to test innovative payment and service delivery models to lower Medicare and Medicaid spending, potentially including prescription drug spending.</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if any, will impact our business.</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led to aggregate reductions of Medicare payments to providers.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seriously harm our business.</w:t>
      </w:r>
    </w:p>
    <w:p>
      <w:pPr>
        <w:spacing w:after="0" w:line="207"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assistance programs.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and could seriously harm our business.</w:t>
      </w:r>
    </w:p>
    <w:p>
      <w:pPr>
        <w:spacing w:after="0" w:line="211"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74" w:name="page75"/>
    <w:bookmarkEnd w:id="74"/>
    <w:p>
      <w:pPr>
        <w:jc w:val="both"/>
        <w:spacing w:after="0" w:line="236" w:lineRule="auto"/>
        <w:rPr>
          <w:sz w:val="20"/>
          <w:szCs w:val="20"/>
          <w:color w:val="auto"/>
        </w:rPr>
      </w:pPr>
      <w:r>
        <w:rPr>
          <w:rFonts w:ascii="Arial" w:cs="Arial" w:eastAsia="Arial" w:hAnsi="Arial"/>
          <w:sz w:val="18"/>
          <w:szCs w:val="18"/>
          <w:color w:val="auto"/>
        </w:rPr>
        <w:t>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seriously harm our business.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 Furthermore, there has been increased interest by third -party payors and governmental authorities in reference pricing systems and publication of discounts and list prices. Prescription drugs and biological products that are in violation of these requirements will be included on a public list. These reforms could reduce the ultimate demand for our product candidates or put pressure on our product pricing and could seriously harm our business.</w:t>
      </w:r>
    </w:p>
    <w:p>
      <w:pPr>
        <w:spacing w:after="0" w:line="204"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 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European Union, reimbursement and healthcare payment systems vary significantly by country, and many countries have instituted price ceilings on specific products and therapies.</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judicial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due to unfavorable pricing regulations and/or third-party coverage and reimbursement policies, we may not be able to offer such products at competitive prices which would seriously harm our business.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206"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A primary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18"/>
          <w:szCs w:val="18"/>
          <w:color w:val="auto"/>
        </w:rPr>
        <w:t>trend in the U.S. healthcare industry and elsewhere is cost containment. Government authorities and other third-party payors have attempted to control costs by limiting coverage and the amount of reimbursement for particular medications. Government authorities currently impose mandatory discounts for certain patient groups, such as Medicare, Medicaid and Veterans Affairs (“VA”) hospitals, and may seek to increase such discounts at any time. Future regulation may negatively impact the price of our products, if approved. Increasingly, other third-party payors are requiring that drug companies provide them with predetermined discounts from list prices and are challenging the prices charged for medical products. For genetic medicine and other products administered under the supervision of a physician, obtaining coverage and adequate reimbursement may be particularly difficult because of the higher prices often associated with such drugs. We cannot be sure that reimbursement will be available for any product candidate that we commercialize and, if reimbursement is available, that the level of reimbursement will be sufficient.</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seriously harm our business.</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6" w:name="page77"/>
    <w:bookmarkEnd w:id="76"/>
    <w:p>
      <w:pPr>
        <w:jc w:val="both"/>
        <w:spacing w:after="0" w:line="245" w:lineRule="auto"/>
        <w:rPr>
          <w:sz w:val="20"/>
          <w:szCs w:val="20"/>
          <w:color w:val="auto"/>
        </w:rPr>
      </w:pPr>
      <w:r>
        <w:rPr>
          <w:rFonts w:ascii="Arial" w:cs="Arial" w:eastAsia="Arial" w:hAnsi="Arial"/>
          <w:sz w:val="18"/>
          <w:szCs w:val="18"/>
          <w:color w:val="auto"/>
        </w:rPr>
        <w:t>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17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 and our business would be seriously harmed.</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 and seriously harm our business.</w:t>
      </w:r>
    </w:p>
    <w:p>
      <w:pPr>
        <w:spacing w:after="0" w:line="19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6" w:lineRule="exact"/>
        <w:rPr>
          <w:sz w:val="20"/>
          <w:szCs w:val="20"/>
          <w:color w:val="auto"/>
        </w:rPr>
      </w:pPr>
    </w:p>
    <w:p>
      <w:pPr>
        <w:ind w:left="1020" w:right="40" w:hanging="504"/>
        <w:spacing w:after="0" w:line="23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any U.S. federal healthcare program, such as Medicare and Medicaid. A person or entity does not need to have actual knowledge of the statute or specific intent to violate it in order to have committed a violation;</w:t>
      </w:r>
    </w:p>
    <w:p>
      <w:pPr>
        <w:spacing w:after="0" w:line="95" w:lineRule="exact"/>
        <w:rPr>
          <w:rFonts w:ascii="Arial" w:cs="Arial" w:eastAsia="Arial" w:hAnsi="Arial"/>
          <w:sz w:val="18"/>
          <w:szCs w:val="18"/>
          <w:color w:val="auto"/>
        </w:rPr>
      </w:pPr>
    </w:p>
    <w:p>
      <w:pPr>
        <w:ind w:left="1020" w:right="140" w:hanging="504"/>
        <w:spacing w:after="0" w:line="23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U.S. federal civil and criminal false claims and civil monetary penalties laws, including the civil federal False Claims Act, which can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Pharmaceutical manufacturers can cause false claims to be presented to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7" w:name="page78"/>
    <w:bookmarkEnd w:id="77"/>
    <w:p>
      <w:pPr>
        <w:ind w:left="1020" w:right="40"/>
        <w:spacing w:after="0" w:line="238" w:lineRule="auto"/>
        <w:rPr>
          <w:sz w:val="20"/>
          <w:szCs w:val="20"/>
          <w:color w:val="auto"/>
        </w:rPr>
      </w:pPr>
      <w:r>
        <w:rPr>
          <w:rFonts w:ascii="Arial" w:cs="Arial" w:eastAsia="Arial" w:hAnsi="Arial"/>
          <w:sz w:val="18"/>
          <w:szCs w:val="18"/>
          <w:color w:val="auto"/>
        </w:rPr>
        <w:t>U.S. federal government by engaging in impermissible marketing practices, such as the off-label promotion of a product for an indication for which it has not received FDA approval. In addition, the government may assert that a claim including items and services resulting from a violation of the U.S. federal Anti-Kickback Statute constitutes a false or fraudulent claim for purposes of the civil False Claims Act;</w:t>
      </w:r>
    </w:p>
    <w:p>
      <w:pPr>
        <w:spacing w:after="0" w:line="96" w:lineRule="exact"/>
        <w:rPr>
          <w:sz w:val="20"/>
          <w:szCs w:val="20"/>
          <w:color w:val="auto"/>
        </w:rPr>
      </w:pPr>
    </w:p>
    <w:p>
      <w:pPr>
        <w:ind w:left="1020" w:right="20" w:hanging="504"/>
        <w:spacing w:after="0" w:line="23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95" w:lineRule="exact"/>
        <w:rPr>
          <w:rFonts w:ascii="Arial" w:cs="Arial" w:eastAsia="Arial" w:hAnsi="Arial"/>
          <w:sz w:val="18"/>
          <w:szCs w:val="18"/>
          <w:color w:val="auto"/>
        </w:rPr>
      </w:pPr>
    </w:p>
    <w:p>
      <w:pPr>
        <w:ind w:left="1020" w:hanging="504"/>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6"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89" w:lineRule="exact"/>
        <w:rPr>
          <w:rFonts w:ascii="Arial" w:cs="Arial" w:eastAsia="Arial" w:hAnsi="Arial"/>
          <w:sz w:val="18"/>
          <w:szCs w:val="18"/>
          <w:color w:val="auto"/>
        </w:rPr>
      </w:pPr>
    </w:p>
    <w:p>
      <w:pPr>
        <w:ind w:left="1020" w:right="20" w:hanging="504"/>
        <w:spacing w:after="0" w:line="23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(as defined by statute), certain other non-physician practitioners (including physician assistants, nurse practitioners, clinical nurse specialists, certified nurse anesthetists, anesthesiology assistants, and certified nurse midwives) and teaching hospitals, as well as ownership and investment interests held by physicians and their immediate family members;</w:t>
      </w:r>
    </w:p>
    <w:p>
      <w:pPr>
        <w:spacing w:after="0" w:line="95" w:lineRule="exact"/>
        <w:rPr>
          <w:rFonts w:ascii="Arial" w:cs="Arial" w:eastAsia="Arial" w:hAnsi="Arial"/>
          <w:sz w:val="18"/>
          <w:szCs w:val="18"/>
          <w:color w:val="auto"/>
        </w:rPr>
      </w:pPr>
    </w:p>
    <w:p>
      <w:pPr>
        <w:ind w:left="1020" w:hanging="504"/>
        <w:spacing w:after="0" w:line="23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requiring the registration of pharmaceutical sales representatives; and</w:t>
      </w:r>
    </w:p>
    <w:p>
      <w:pPr>
        <w:spacing w:after="0" w:line="97" w:lineRule="exact"/>
        <w:rPr>
          <w:rFonts w:ascii="Arial" w:cs="Arial" w:eastAsia="Arial" w:hAnsi="Arial"/>
          <w:sz w:val="18"/>
          <w:szCs w:val="18"/>
          <w:color w:val="auto"/>
        </w:rPr>
      </w:pPr>
    </w:p>
    <w:p>
      <w:pPr>
        <w:ind w:left="1020" w:right="40" w:hanging="504"/>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other jurisdictions, including reporting requirements detailing interactions with and payments to healthcare providers.</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may also be subject to additional federal laws, such as 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 federal consumer protection and unfair competition laws, which broadly regulate marketplace activities and activities that potentially harm consumers.</w:t>
      </w:r>
    </w:p>
    <w:p>
      <w:pPr>
        <w:spacing w:after="0" w:line="20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certain of our advisory board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78" w:name="page79"/>
    <w:bookmarkEnd w:id="78"/>
    <w:p>
      <w:pPr>
        <w:jc w:val="both"/>
        <w:spacing w:after="0" w:line="235" w:lineRule="auto"/>
        <w:rPr>
          <w:sz w:val="20"/>
          <w:szCs w:val="20"/>
          <w:color w:val="auto"/>
        </w:rPr>
      </w:pPr>
      <w:r>
        <w:rPr>
          <w:rFonts w:ascii="Arial" w:cs="Arial" w:eastAsia="Arial" w:hAnsi="Arial"/>
          <w:sz w:val="18"/>
          <w:szCs w:val="18"/>
          <w:color w:val="auto"/>
        </w:rPr>
        <w:t>arrangements with physicians, some of whom are compensated in the form of stock or stock options,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research programs involve the use of hazardous materials and chemicals.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clinical data assessments and analysis organizations, medical institutions and clinical investigators, to conduct some aspects of our research, preclinical testing and clinical trials. Any of these third parties may terminate their engagements with us or be unable to fulfill their contractual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obligations. If we need to enter into alternative arrangements, it would delay our product development activities.</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20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product candidates, producing additional losses and depriving us of potential product revenue.</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rely on various CROs to obtain NHPs for use in vector discovery and preclinical development work. In February 2023, we were informed that Charles River Laboratories (Charles River), one of our primary suppliers of NHPs, received a subpoena from the United States Department of Justice with respect to its importation of NHPs from Cambodia. Charles River reported that it has voluntarily suspended NHP shipments from Cambodia at this time. If we are unable to secure adequate supply of NHPs from Charles River or other CROs, or the shortage of NHPs causes the price of NHPs to rise substantially, certain of our vector discovery projects and preclinical development efforts will be delayed, and the cost of conducting discovery projects and preclinical development activities may substantially increase. Such delays or cost increases could materially adversely affect our discovery and preclinical development activities and our business.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have sought, and may in the future seek third-party collaborators for the research, development and commercialization of certain of the product candidates we may develop. Our likely collaborators for any other collaboration arrangements include large and mid-size pharmaceutical companies, regional, national and international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03" w:lineRule="exact"/>
        <w:rPr>
          <w:sz w:val="20"/>
          <w:szCs w:val="20"/>
          <w:color w:val="auto"/>
        </w:rPr>
      </w:pPr>
    </w:p>
    <w:p>
      <w:pPr>
        <w:ind w:left="1020" w:right="880" w:hanging="504"/>
        <w:spacing w:after="0" w:line="245"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0" w:name="page81"/>
    <w:bookmarkEnd w:id="80"/>
    <w:p>
      <w:pPr>
        <w:ind w:left="504" w:right="160" w:hanging="504"/>
        <w:spacing w:after="0" w:line="238"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95" w:lineRule="exact"/>
        <w:rPr>
          <w:rFonts w:ascii="Arial" w:cs="Arial" w:eastAsia="Arial" w:hAnsi="Arial"/>
          <w:sz w:val="18"/>
          <w:szCs w:val="18"/>
          <w:color w:val="auto"/>
        </w:rPr>
      </w:pPr>
    </w:p>
    <w:p>
      <w:pPr>
        <w:ind w:left="504" w:right="340"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93" w:lineRule="exact"/>
        <w:rPr>
          <w:rFonts w:ascii="Arial" w:cs="Arial" w:eastAsia="Arial" w:hAnsi="Arial"/>
          <w:sz w:val="18"/>
          <w:szCs w:val="18"/>
          <w:color w:val="auto"/>
        </w:rPr>
      </w:pPr>
    </w:p>
    <w:p>
      <w:pPr>
        <w:ind w:left="504"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6" w:lineRule="exact"/>
        <w:rPr>
          <w:rFonts w:ascii="Arial" w:cs="Arial" w:eastAsia="Arial" w:hAnsi="Arial"/>
          <w:sz w:val="18"/>
          <w:szCs w:val="18"/>
          <w:color w:val="auto"/>
        </w:rPr>
      </w:pPr>
    </w:p>
    <w:p>
      <w:pPr>
        <w:ind w:left="504" w:right="240"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9" w:lineRule="exact"/>
        <w:rPr>
          <w:rFonts w:ascii="Arial" w:cs="Arial" w:eastAsia="Arial" w:hAnsi="Arial"/>
          <w:sz w:val="18"/>
          <w:szCs w:val="18"/>
          <w:color w:val="auto"/>
        </w:rPr>
      </w:pPr>
    </w:p>
    <w:p>
      <w:pPr>
        <w:ind w:left="504"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6" w:lineRule="exact"/>
        <w:rPr>
          <w:rFonts w:ascii="Arial" w:cs="Arial" w:eastAsia="Arial" w:hAnsi="Arial"/>
          <w:sz w:val="18"/>
          <w:szCs w:val="18"/>
          <w:color w:val="auto"/>
        </w:rPr>
      </w:pPr>
    </w:p>
    <w:p>
      <w:pPr>
        <w:ind w:left="504" w:right="40"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504" w:hanging="504"/>
        <w:spacing w:after="0" w:line="238"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5" w:lineRule="exact"/>
        <w:rPr>
          <w:rFonts w:ascii="Arial" w:cs="Arial" w:eastAsia="Arial" w:hAnsi="Arial"/>
          <w:sz w:val="18"/>
          <w:szCs w:val="18"/>
          <w:color w:val="auto"/>
        </w:rPr>
      </w:pPr>
    </w:p>
    <w:p>
      <w:pPr>
        <w:ind w:left="504" w:right="440" w:hanging="504"/>
        <w:spacing w:after="0" w:line="274" w:lineRule="auto"/>
        <w:tabs>
          <w:tab w:leader="none" w:pos="5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6" w:lineRule="exact"/>
        <w:rPr>
          <w:rFonts w:ascii="Arial" w:cs="Arial" w:eastAsia="Arial" w:hAnsi="Arial"/>
          <w:sz w:val="17"/>
          <w:szCs w:val="17"/>
          <w:color w:val="auto"/>
        </w:rPr>
      </w:pPr>
    </w:p>
    <w:p>
      <w:pPr>
        <w:ind w:left="504" w:right="120"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504"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9" w:lineRule="exact"/>
        <w:rPr>
          <w:rFonts w:ascii="Arial" w:cs="Arial" w:eastAsia="Arial" w:hAnsi="Arial"/>
          <w:sz w:val="18"/>
          <w:szCs w:val="18"/>
          <w:color w:val="auto"/>
        </w:rPr>
      </w:pPr>
    </w:p>
    <w:p>
      <w:pPr>
        <w:ind w:left="504" w:right="340"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9" w:lineRule="exact"/>
        <w:rPr>
          <w:rFonts w:ascii="Arial" w:cs="Arial" w:eastAsia="Arial" w:hAnsi="Arial"/>
          <w:sz w:val="18"/>
          <w:szCs w:val="18"/>
          <w:color w:val="auto"/>
        </w:rPr>
      </w:pPr>
    </w:p>
    <w:p>
      <w:pPr>
        <w:ind w:left="504" w:right="140"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89" w:lineRule="exact"/>
        <w:rPr>
          <w:rFonts w:ascii="Arial" w:cs="Arial" w:eastAsia="Arial" w:hAnsi="Arial"/>
          <w:sz w:val="18"/>
          <w:szCs w:val="18"/>
          <w:color w:val="auto"/>
        </w:rPr>
      </w:pPr>
    </w:p>
    <w:p>
      <w:pPr>
        <w:ind w:left="504" w:right="80"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93" w:lineRule="exact"/>
        <w:rPr>
          <w:rFonts w:ascii="Arial" w:cs="Arial" w:eastAsia="Arial" w:hAnsi="Arial"/>
          <w:sz w:val="18"/>
          <w:szCs w:val="18"/>
          <w:color w:val="auto"/>
        </w:rPr>
      </w:pPr>
    </w:p>
    <w:p>
      <w:pPr>
        <w:ind w:left="504" w:right="160" w:hanging="504"/>
        <w:spacing w:after="0"/>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products and product candidates;</w:t>
      </w:r>
    </w:p>
    <w:p>
      <w:pPr>
        <w:spacing w:after="0" w:line="93" w:lineRule="exact"/>
        <w:rPr>
          <w:rFonts w:ascii="Arial" w:cs="Arial" w:eastAsia="Arial" w:hAnsi="Arial"/>
          <w:sz w:val="18"/>
          <w:szCs w:val="18"/>
          <w:color w:val="auto"/>
        </w:rPr>
      </w:pPr>
    </w:p>
    <w:p>
      <w:pPr>
        <w:ind w:left="504" w:right="1000"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89" w:lineRule="exact"/>
        <w:rPr>
          <w:rFonts w:ascii="Arial" w:cs="Arial" w:eastAsia="Arial" w:hAnsi="Arial"/>
          <w:sz w:val="18"/>
          <w:szCs w:val="18"/>
          <w:color w:val="auto"/>
        </w:rPr>
      </w:pPr>
    </w:p>
    <w:p>
      <w:pPr>
        <w:ind w:left="504" w:right="140" w:hanging="504"/>
        <w:spacing w:after="0" w:line="245"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198"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4"/>
          </w:cols>
          <w:pgMar w:left="836" w:top="462" w:right="359" w:bottom="1440" w:gutter="0" w:footer="0" w:header="0"/>
        </w:sectPr>
      </w:pPr>
    </w:p>
    <w:bookmarkStart w:id="81" w:name="page82"/>
    <w:bookmarkEnd w:id="81"/>
    <w:p>
      <w:pPr>
        <w:ind w:left="1020" w:right="100" w:hanging="504"/>
        <w:spacing w:after="0" w:line="24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Therapeutic Vector Evolution platform technology; and</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which could seriously harm our business.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3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Our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Further, we have one granted patent (U.S. patent no. 11,136,557) and three pending patent applications (U.S. patent application nos. 16/486,681, 17/725,289 and 17,468,290), that were made with government support, that may be subject, under certain circumstances, to march-in-rights under 35 U.S.C. 203, which is a right that allows the government, in certain limited circumstances, to force a party with a license to intellectual property funded, at least in part, by the government, to grant a license to such property to another entity. U.S. patent no. 11,136,557 was made with the support of U.C. Berkeley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2" w:name="page83"/>
    <w:bookmarkEnd w:id="82"/>
    <w:p>
      <w:pPr>
        <w:jc w:val="both"/>
        <w:spacing w:after="0" w:line="238" w:lineRule="auto"/>
        <w:rPr>
          <w:sz w:val="20"/>
          <w:szCs w:val="20"/>
          <w:color w:val="auto"/>
        </w:rPr>
      </w:pPr>
      <w:r>
        <w:rPr>
          <w:rFonts w:ascii="Arial" w:cs="Arial" w:eastAsia="Arial" w:hAnsi="Arial"/>
          <w:sz w:val="18"/>
          <w:szCs w:val="18"/>
          <w:color w:val="auto"/>
        </w:rPr>
        <w:t>relates to our A101 vector. The degree of future protection for our proprietary rights is uncertain. Only limited protection may be available and may not adequately protect our rights or permit us to gain or keep any competitive advantage. If we do not adequately protect our intellectual property and proprietary technology, competitors may be able to use our product candidates and proprietary technologies and erode or negate any competitive advantage we may have, which could seriously harm our business.</w:t>
      </w:r>
    </w:p>
    <w:p>
      <w:pPr>
        <w:spacing w:after="0" w:line="2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and our licensors have applied, and we intend to continue applying, for patents covering aspects of our product candidates, proprietary technologies and their uses that we deem appropriate. However, we may not be able to apply for patents on certain aspects of our current or future product candidates, proprietary technologies and their uses in a timely fashion, at a reasonable cost, in all jurisdictions, or at all, and any potential patent coverage we obtain may not be sufficient to prevent substantial competition.</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actual or potential future collaborators or licensors will be successful in protecting our product candidates, proprietary technologies and their uses by obtaining and defending patents. These risks and uncertainties include the following:</w:t>
      </w:r>
    </w:p>
    <w:p>
      <w:pPr>
        <w:spacing w:after="0" w:line="94" w:lineRule="exact"/>
        <w:rPr>
          <w:sz w:val="20"/>
          <w:szCs w:val="20"/>
          <w:color w:val="auto"/>
        </w:rPr>
      </w:pPr>
    </w:p>
    <w:p>
      <w:pPr>
        <w:ind w:left="1020" w:right="60" w:hanging="504"/>
        <w:spacing w:after="0" w:line="23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95" w:lineRule="exact"/>
        <w:rPr>
          <w:rFonts w:ascii="Arial" w:cs="Arial" w:eastAsia="Arial" w:hAnsi="Arial"/>
          <w:sz w:val="18"/>
          <w:szCs w:val="18"/>
          <w:color w:val="auto"/>
        </w:rPr>
      </w:pPr>
    </w:p>
    <w:p>
      <w:pPr>
        <w:ind w:left="102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Arial" w:cs="Arial" w:eastAsia="Arial" w:hAnsi="Arial"/>
          <w:sz w:val="18"/>
          <w:szCs w:val="18"/>
          <w:color w:val="auto"/>
        </w:rPr>
      </w:pPr>
    </w:p>
    <w:p>
      <w:pPr>
        <w:ind w:left="1020" w:right="740" w:hanging="504"/>
        <w:spacing w:after="0" w:line="245"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circumvented, found to be unenforceable or otherwise may not provide any competitive advantage;</w:t>
      </w:r>
    </w:p>
    <w:p>
      <w:pPr>
        <w:spacing w:after="0" w:line="89" w:lineRule="exact"/>
        <w:rPr>
          <w:rFonts w:ascii="Arial" w:cs="Arial" w:eastAsia="Arial" w:hAnsi="Arial"/>
          <w:sz w:val="18"/>
          <w:szCs w:val="18"/>
          <w:color w:val="auto"/>
        </w:rPr>
      </w:pPr>
    </w:p>
    <w:p>
      <w:pPr>
        <w:ind w:left="1020" w:right="8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93" w:lineRule="exact"/>
        <w:rPr>
          <w:rFonts w:ascii="Arial" w:cs="Arial" w:eastAsia="Arial" w:hAnsi="Arial"/>
          <w:sz w:val="18"/>
          <w:szCs w:val="18"/>
          <w:color w:val="auto"/>
        </w:rPr>
      </w:pPr>
    </w:p>
    <w:p>
      <w:pPr>
        <w:ind w:left="1020" w:right="180" w:hanging="504"/>
        <w:spacing w:after="0" w:line="23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95"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successful opposition to any patents owned by or licensed to us could deprive us of rights necessary for the practice of our technologies or the successful commercialization of any products or product candidates that we may develop;</w:t>
      </w:r>
    </w:p>
    <w:p>
      <w:pPr>
        <w:spacing w:after="0" w:line="89" w:lineRule="exact"/>
        <w:rPr>
          <w:rFonts w:ascii="Arial" w:cs="Arial" w:eastAsia="Arial" w:hAnsi="Arial"/>
          <w:sz w:val="18"/>
          <w:szCs w:val="18"/>
          <w:color w:val="auto"/>
        </w:rPr>
      </w:pPr>
    </w:p>
    <w:p>
      <w:pPr>
        <w:ind w:left="1020" w:right="36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w:t>
      </w:r>
    </w:p>
    <w:p>
      <w:pPr>
        <w:spacing w:after="0" w:line="93" w:lineRule="exact"/>
        <w:rPr>
          <w:rFonts w:ascii="Arial" w:cs="Arial" w:eastAsia="Arial" w:hAnsi="Arial"/>
          <w:sz w:val="18"/>
          <w:szCs w:val="18"/>
          <w:color w:val="auto"/>
        </w:rPr>
      </w:pPr>
    </w:p>
    <w:p>
      <w:pPr>
        <w:ind w:left="1020" w:right="10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interference proceeding can be provoked by a third party or instituted by the USPTO to determine who was the first to invent any of the subject matter covered by the patent claims of our licensors' patent applications for any patent application with an effective filing date before March 16, 2013;</w:t>
      </w:r>
    </w:p>
    <w:p>
      <w:pPr>
        <w:spacing w:after="0" w:line="93" w:lineRule="exact"/>
        <w:rPr>
          <w:rFonts w:ascii="Arial" w:cs="Arial" w:eastAsia="Arial" w:hAnsi="Arial"/>
          <w:sz w:val="18"/>
          <w:szCs w:val="18"/>
          <w:color w:val="auto"/>
        </w:rPr>
      </w:pPr>
    </w:p>
    <w:p>
      <w:pPr>
        <w:ind w:left="1020" w:right="300" w:hanging="504"/>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3" w:name="page84"/>
    <w:bookmarkEnd w:id="83"/>
    <w:p>
      <w:pPr>
        <w:ind w:left="1020" w:right="500" w:hanging="504"/>
        <w:spacing w:after="0" w:line="245"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98"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and other third parties, any of these parties may breach such agreements and disclose such output before a patent application is filed, thereby jeopardizing our ability to seek patent protection.</w:t>
      </w:r>
    </w:p>
    <w:p>
      <w:pPr>
        <w:spacing w:after="0" w:line="207"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Moreover, the issuance of a patent is not conclusive as to its inventorship, scope, validity or enforceability, and our patents, if issued, patents obtained by our collaborators or the patent rights that we license from others, may be challenged in the courts or patent offices in the United States and abroad. 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Such challenges may result in loss of exclusivity or freedom to operate or in patent claims being narrowed, invalidated or held unenforceable, in whole or in part, which could limit our ability to stop others from using or commercializing similar or identical products or product candidates, or limit the duration of the patent protection of our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11"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 candidates are invalidated or found unenforceable, or if a court found that valid, enforceable patents held by third parties covered one or more of our product candidates, our competitive position could be harmed or we could be required to incur significant expenses to enforce or defend our rights. If we initiate lawsuits to protect or enforce our patents, or litigate against third-party claims, such proceedings would be expensive and would divert the attention of our management and technical personnel.</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03" w:lineRule="exact"/>
        <w:rPr>
          <w:sz w:val="20"/>
          <w:szCs w:val="20"/>
          <w:color w:val="auto"/>
        </w:rPr>
      </w:pPr>
    </w:p>
    <w:p>
      <w:pPr>
        <w:ind w:left="1020" w:right="400" w:hanging="504"/>
        <w:spacing w:after="0" w:line="24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or those of our licensors, will include claims having a scope sufficient to protect our product candidates;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of our pending patent applications or those of our licensors may issue as patents;</w:t>
      </w:r>
    </w:p>
    <w:p>
      <w:pPr>
        <w:spacing w:after="0" w:line="116" w:lineRule="exact"/>
        <w:rPr>
          <w:rFonts w:ascii="Arial" w:cs="Arial" w:eastAsia="Arial" w:hAnsi="Arial"/>
          <w:sz w:val="18"/>
          <w:szCs w:val="18"/>
          <w:color w:val="auto"/>
        </w:rPr>
      </w:pPr>
    </w:p>
    <w:p>
      <w:pPr>
        <w:ind w:left="1020" w:right="200" w:hanging="504"/>
        <w:spacing w:after="0" w:line="24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products that are the same as or similar to our own but that are not covered by the claims of the patents that we own or license;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4" w:name="page85"/>
    <w:bookmarkEnd w:id="84"/>
    <w:p>
      <w:pPr>
        <w:ind w:left="1020" w:right="380" w:hanging="504"/>
        <w:spacing w:after="0" w:line="24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on a substantial scale, if approved, before the relevant patents that we own or license expire;</w:t>
      </w:r>
    </w:p>
    <w:p>
      <w:pPr>
        <w:spacing w:after="0" w:line="89" w:lineRule="exact"/>
        <w:rPr>
          <w:rFonts w:ascii="Arial" w:cs="Arial" w:eastAsia="Arial" w:hAnsi="Arial"/>
          <w:sz w:val="18"/>
          <w:szCs w:val="18"/>
          <w:color w:val="auto"/>
        </w:rPr>
      </w:pPr>
    </w:p>
    <w:p>
      <w:pPr>
        <w:ind w:left="1020" w:right="60" w:hanging="504"/>
        <w:spacing w:after="0" w:line="24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licensors were the first to make the inventions covered by each of the patents and pending patent applications that we own or license;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licensors were the first to file patent applications for these inventions;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the patents we own or license;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of the patents we own or license will be found to ultimately be valid and enforceable;</w:t>
      </w:r>
    </w:p>
    <w:p>
      <w:pPr>
        <w:spacing w:after="0" w:line="116"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patents issued to us or our licensors will provide a basis for an exclusive market for our commercially viable products or will provide us with any competitive advantages;</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third party may not challenge the patents we own or license and, if challenged, a court would hold that such patents are valid, enforceable and infringed;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6" w:lineRule="exact"/>
        <w:rPr>
          <w:rFonts w:ascii="Arial" w:cs="Arial" w:eastAsia="Arial" w:hAnsi="Arial"/>
          <w:sz w:val="18"/>
          <w:szCs w:val="18"/>
          <w:color w:val="auto"/>
        </w:rPr>
      </w:pPr>
    </w:p>
    <w:p>
      <w:pPr>
        <w:ind w:left="1020" w:right="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2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or such activities, if controlled by us, may require the input of such third parties. We may also require the cooperation of our licensors and collaborators to enforce any licensed patent rights, and such cooperation may not be provided. Therefore, these patents and patent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or expiration of licensed patents or patent applications, could seriously harm our business.</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Furthermore, our owned and in-licensed intellectual property rights may be subject to a reservation of rights by one or more third parties. For example, the research resulting in certain of our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seriously harm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The lives of our patents may not be sufficient to effectively protect our product candidates and business.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are limited. Even if patents covering our product candidates, proprietary technologies and their uses are obtained, once the patent life has expired, we may be open to competition. In addition, although upon issuance in the United States a patent’s life can be extended based on certain delays caused by the USPTO and clinical development,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life to protect our product candidates, proprietary technologies and their uses, our business would be seriously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would be seriously harmed.</w:t>
      </w:r>
    </w:p>
    <w:p>
      <w:pPr>
        <w:spacing w:after="0" w:line="23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We have taken steps to protect our trade secrets and unpatented know-how, including entering into confidentiality agreements with third parties, and confidential information and inventions agreements with employees and consultants.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In addition, such security measures may not provide adequate protection for our proprietary information, for example, in the case of misappropriation of a trade secret by an employee, consultant or third party with authorized access. Our security measures may not prevent an employee, consultant, collaborator or third party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 candidates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spacing w:after="0" w:line="21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Though our agreements with third parties typically restrict the ability of our employees, collaborators, licensors,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have relied on, and in future expect to rely on third parties in the development, manufacture, and distribution of our product candidates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6" w:name="page87"/>
    <w:bookmarkEnd w:id="86"/>
    <w:p>
      <w:pPr>
        <w:jc w:val="both"/>
        <w:spacing w:after="0" w:line="238" w:lineRule="auto"/>
        <w:rPr>
          <w:sz w:val="20"/>
          <w:szCs w:val="20"/>
          <w:color w:val="auto"/>
        </w:rPr>
      </w:pPr>
      <w:r>
        <w:rPr>
          <w:rFonts w:ascii="Arial" w:cs="Arial" w:eastAsia="Arial" w:hAnsi="Arial"/>
          <w:sz w:val="18"/>
          <w:szCs w:val="18"/>
          <w:color w:val="auto"/>
        </w:rPr>
        <w:t>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and the patent protection, prosecution and enforcement for some of our product candidates may be dependent on our licensors.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currently are reliant upon licenses of certain patent rights and proprietary technology from third parties that are important or necessary to the development of our technology, including technology related to our product candidates. For example, we rely on our exclusive license agreements with U.C. Berkeley for certain rights with respect to the intellectual property covering certain compositions of matter and methods of use of certain AAV variants related to our 4D-710 and 4D-725 product candidates. These and other licenses we may enter into in the future may not provide adequate rights to use such intellectual property and technology in all relevant fields of use or in all territories in which we may wish to develop or commercialize our technology and product candidates in the future. As a result, we may not be able to develop and commercialize our technology and product candidates in fields of use and territories for which we are not granted rights pursuant to such licenses.</w:t>
      </w:r>
    </w:p>
    <w:p>
      <w:pPr>
        <w:spacing w:after="0" w:line="206"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Licenses to additional third-party technology that may be required for our development programs may not be available in the future or may not be available on commercially reasonable terms, which could seriously harm our business.</w:t>
      </w:r>
    </w:p>
    <w:p>
      <w:pPr>
        <w:spacing w:after="0" w:line="19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11"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Our current licenses, and our future licenses likely will, impose various royalty payments, milestones, and other obligations on us. If we fail to comply with any of these obligations, we may be required to pay damages and the licensor may have the right to terminate the license.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7" w:name="page88"/>
    <w:bookmarkEnd w:id="87"/>
    <w:p>
      <w:pPr>
        <w:jc w:val="both"/>
        <w:spacing w:after="0" w:line="245" w:lineRule="auto"/>
        <w:rPr>
          <w:sz w:val="20"/>
          <w:szCs w:val="20"/>
          <w:color w:val="auto"/>
        </w:rPr>
      </w:pPr>
      <w:r>
        <w:rPr>
          <w:rFonts w:ascii="Arial" w:cs="Arial" w:eastAsia="Arial" w:hAnsi="Arial"/>
          <w:sz w:val="18"/>
          <w:szCs w:val="18"/>
          <w:color w:val="auto"/>
        </w:rPr>
        <w:t>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whether registered in the future or unregistered now, are not adequately protected, then we may not be able to build name recognition in our markets of interest and our business may be adversely affected.</w:t>
      </w:r>
    </w:p>
    <w:p>
      <w:pPr>
        <w:spacing w:after="0" w:line="17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Any trademarks we may register in the future or any current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the extent any are registered,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3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0" w:lineRule="exact"/>
        <w:rPr>
          <w:sz w:val="20"/>
          <w:szCs w:val="20"/>
          <w:color w:val="auto"/>
        </w:rPr>
      </w:pPr>
    </w:p>
    <w:p>
      <w:pPr>
        <w:ind w:left="1020" w:right="640" w:hanging="504"/>
        <w:spacing w:after="0" w:line="274"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be able to make genetic medicine products that are similar to our product candidates or utilize similar genetic medicine technology but that are not covered by the claims of the patents that we own or have exclusively licensed;</w:t>
      </w:r>
    </w:p>
    <w:p>
      <w:pPr>
        <w:spacing w:after="0" w:line="66" w:lineRule="exact"/>
        <w:rPr>
          <w:rFonts w:ascii="Arial" w:cs="Arial" w:eastAsia="Arial" w:hAnsi="Arial"/>
          <w:sz w:val="17"/>
          <w:szCs w:val="17"/>
          <w:color w:val="auto"/>
        </w:rPr>
      </w:pPr>
    </w:p>
    <w:p>
      <w:pPr>
        <w:ind w:left="1020" w:right="10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patents or pending patent applications that we own or have exclusively licensed;</w:t>
      </w:r>
    </w:p>
    <w:p>
      <w:pPr>
        <w:spacing w:after="0" w:line="89" w:lineRule="exact"/>
        <w:rPr>
          <w:rFonts w:ascii="Arial" w:cs="Arial" w:eastAsia="Arial" w:hAnsi="Arial"/>
          <w:sz w:val="18"/>
          <w:szCs w:val="18"/>
          <w:color w:val="auto"/>
        </w:rPr>
      </w:pPr>
    </w:p>
    <w:p>
      <w:pPr>
        <w:ind w:left="1020" w:right="74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file patent applications covering certain of our inventions;</w:t>
      </w:r>
    </w:p>
    <w:p>
      <w:pPr>
        <w:spacing w:after="0" w:line="89"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6"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89" w:lineRule="exact"/>
        <w:rPr>
          <w:rFonts w:ascii="Arial" w:cs="Arial" w:eastAsia="Arial" w:hAnsi="Arial"/>
          <w:sz w:val="18"/>
          <w:szCs w:val="18"/>
          <w:color w:val="auto"/>
        </w:rPr>
      </w:pPr>
    </w:p>
    <w:p>
      <w:pPr>
        <w:ind w:left="1020" w:right="320" w:hanging="504"/>
        <w:spacing w:after="0" w:line="274"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6" w:lineRule="exact"/>
        <w:rPr>
          <w:rFonts w:ascii="Arial" w:cs="Arial" w:eastAsia="Arial" w:hAnsi="Arial"/>
          <w:sz w:val="17"/>
          <w:szCs w:val="17"/>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Should any of these events occur, they could seriously harm our business.</w:t>
      </w:r>
    </w:p>
    <w:p>
      <w:pPr>
        <w:spacing w:after="0" w:line="1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7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Any future collaborations that we enter into may not be successful, such as our collaboration agreement with Pfizer that was terminated in 2018, with AstraZeneca that concluded in 2020 without AstraZeneca exercising its option and with Roche that was terminated without cause effective September 2021. The success of our collaboration arrangements will depend heavily on the efforts and activities of our collaborators. Collaborations are subject to numerous risks, which may include that:</w:t>
      </w:r>
    </w:p>
    <w:p>
      <w:pPr>
        <w:spacing w:after="0" w:line="96" w:lineRule="exact"/>
        <w:rPr>
          <w:sz w:val="20"/>
          <w:szCs w:val="20"/>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w:t>
      </w:r>
    </w:p>
    <w:p>
      <w:pPr>
        <w:spacing w:after="0" w:line="116" w:lineRule="exact"/>
        <w:rPr>
          <w:rFonts w:ascii="Arial" w:cs="Arial" w:eastAsia="Arial" w:hAnsi="Arial"/>
          <w:sz w:val="18"/>
          <w:szCs w:val="18"/>
          <w:color w:val="auto"/>
        </w:rPr>
      </w:pPr>
    </w:p>
    <w:p>
      <w:pPr>
        <w:ind w:left="1020" w:right="180" w:hanging="504"/>
        <w:spacing w:after="0" w:line="23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5" w:lineRule="exact"/>
        <w:rPr>
          <w:rFonts w:ascii="Arial" w:cs="Arial" w:eastAsia="Arial" w:hAnsi="Arial"/>
          <w:sz w:val="18"/>
          <w:szCs w:val="18"/>
          <w:color w:val="auto"/>
        </w:rPr>
      </w:pPr>
    </w:p>
    <w:p>
      <w:pPr>
        <w:ind w:left="1020" w:right="140" w:hanging="504"/>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and product candidates that compete directly or indirectly with our product candidates;</w:t>
      </w:r>
    </w:p>
    <w:p>
      <w:pPr>
        <w:spacing w:after="0" w:line="89" w:lineRule="exact"/>
        <w:rPr>
          <w:rFonts w:ascii="Arial" w:cs="Arial" w:eastAsia="Arial" w:hAnsi="Arial"/>
          <w:sz w:val="18"/>
          <w:szCs w:val="18"/>
          <w:color w:val="auto"/>
        </w:rPr>
      </w:pPr>
    </w:p>
    <w:p>
      <w:pPr>
        <w:ind w:left="1020" w:right="360" w:hanging="504"/>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and product candidates may not commit sufficient resources to or otherwise not perform satisfactorily in carrying out these activities;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16" w:lineRule="exact"/>
        <w:rPr>
          <w:rFonts w:ascii="Arial" w:cs="Arial" w:eastAsia="Arial" w:hAnsi="Arial"/>
          <w:sz w:val="18"/>
          <w:szCs w:val="18"/>
          <w:color w:val="auto"/>
        </w:rPr>
      </w:pPr>
    </w:p>
    <w:p>
      <w:pPr>
        <w:ind w:left="1020" w:right="6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93" w:lineRule="exact"/>
        <w:rPr>
          <w:rFonts w:ascii="Arial" w:cs="Arial" w:eastAsia="Arial" w:hAnsi="Arial"/>
          <w:sz w:val="18"/>
          <w:szCs w:val="18"/>
          <w:color w:val="auto"/>
        </w:rPr>
      </w:pPr>
    </w:p>
    <w:p>
      <w:pPr>
        <w:jc w:val="both"/>
        <w:ind w:left="1020" w:right="78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causes the delay or termination of the research, development or commercialization of our current or future product candidates or that results in costly litigation or arbitration that diverts management attention and resources;</w:t>
      </w:r>
    </w:p>
    <w:p>
      <w:pPr>
        <w:spacing w:after="0" w:line="93" w:lineRule="exact"/>
        <w:rPr>
          <w:rFonts w:ascii="Arial" w:cs="Arial" w:eastAsia="Arial" w:hAnsi="Arial"/>
          <w:sz w:val="18"/>
          <w:szCs w:val="18"/>
          <w:color w:val="auto"/>
        </w:rPr>
      </w:pPr>
    </w:p>
    <w:p>
      <w:pPr>
        <w:ind w:left="1020" w:right="300" w:hanging="504"/>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adversely affect the price of our common stock and may result in a need for additional capital to pursue further development or commercialization of the applicable current or future product candidates;</w:t>
      </w:r>
    </w:p>
    <w:p>
      <w:pPr>
        <w:spacing w:after="0" w:line="93" w:lineRule="exact"/>
        <w:rPr>
          <w:rFonts w:ascii="Arial" w:cs="Arial" w:eastAsia="Arial" w:hAnsi="Arial"/>
          <w:sz w:val="18"/>
          <w:szCs w:val="18"/>
          <w:color w:val="auto"/>
        </w:rPr>
      </w:pPr>
    </w:p>
    <w:p>
      <w:pPr>
        <w:ind w:left="1020" w:right="280" w:hanging="504"/>
        <w:spacing w:after="0" w:line="274"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66" w:lineRule="exact"/>
        <w:rPr>
          <w:rFonts w:ascii="Arial" w:cs="Arial" w:eastAsia="Arial" w:hAnsi="Arial"/>
          <w:sz w:val="17"/>
          <w:szCs w:val="17"/>
          <w:color w:val="auto"/>
        </w:rPr>
      </w:pPr>
    </w:p>
    <w:p>
      <w:pPr>
        <w:ind w:left="1020" w:right="40" w:hanging="504"/>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The loss of the services provided by any of our executive officers, other key employees,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9" w:name="page90"/>
    <w:bookmarkEnd w:id="89"/>
    <w:p>
      <w:pPr>
        <w:jc w:val="both"/>
        <w:spacing w:after="0" w:line="245" w:lineRule="auto"/>
        <w:rPr>
          <w:sz w:val="20"/>
          <w:szCs w:val="20"/>
          <w:color w:val="auto"/>
        </w:rPr>
      </w:pPr>
      <w:r>
        <w:rPr>
          <w:rFonts w:ascii="Arial" w:cs="Arial" w:eastAsia="Arial" w:hAnsi="Arial"/>
          <w:sz w:val="18"/>
          <w:szCs w:val="18"/>
          <w:color w:val="auto"/>
        </w:rPr>
        <w:t>other scientific and medical advisors, and our inability to find suitable replacements, could result in delays in the development of our product candidates and harm our business.</w:t>
      </w:r>
    </w:p>
    <w:p>
      <w:pPr>
        <w:spacing w:after="0" w:line="19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conduct our operations at our facilities in Emeryville,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To induce valuable employees to remain at our company, in addition to salary and cash incentives, we have provided stock option grants. The value to employees of these equity grants that vest over time may be significantly affected by movements in our stock price that are beyond our control, and may at any time be insufficient to counteract more lucrative offers from other companies. In addition, our employees are employed at-will, which means that any of our employees could leave our employment at any time, with or without notice. If we are unable to attract, incentivize and retain quality personnel on acceptable terms, or at all, it could seriously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of December 31, 2022, we had 140 full-time employees. As our development plans and strategies develop, we must add a significant number of additional managerial, operational, financial and other personnel. Future growth will impose significant added responsibilities on members of management, including:</w:t>
      </w:r>
    </w:p>
    <w:p>
      <w:pPr>
        <w:spacing w:after="0" w:line="94" w:lineRule="exact"/>
        <w:rPr>
          <w:sz w:val="20"/>
          <w:szCs w:val="20"/>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6" w:lineRule="exact"/>
        <w:rPr>
          <w:rFonts w:ascii="Arial" w:cs="Arial" w:eastAsia="Arial" w:hAnsi="Arial"/>
          <w:sz w:val="18"/>
          <w:szCs w:val="18"/>
          <w:color w:val="auto"/>
        </w:rPr>
      </w:pPr>
    </w:p>
    <w:p>
      <w:pPr>
        <w:ind w:left="1020" w:right="280" w:hanging="504"/>
        <w:spacing w:after="0" w:line="245"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22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207"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other factors such as increased inflation or closure of or liquidity issues at financial institutions (including, for example, Silicon Valley Bank)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we engage in acquisitions or strategic partnerships, this may increase our capital requirements, dilute our stockholders, cause us to incur debt or assume contingent liabilities and subject us to other risks.</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94" w:lineRule="exact"/>
        <w:rPr>
          <w:sz w:val="20"/>
          <w:szCs w:val="20"/>
          <w:color w:val="auto"/>
        </w:rPr>
      </w:pPr>
    </w:p>
    <w:p>
      <w:pPr>
        <w:ind w:left="1020" w:hanging="50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6" w:lineRule="exact"/>
        <w:rPr>
          <w:rFonts w:ascii="Arial" w:cs="Arial" w:eastAsia="Arial" w:hAnsi="Arial"/>
          <w:sz w:val="18"/>
          <w:szCs w:val="18"/>
          <w:color w:val="auto"/>
        </w:rPr>
      </w:pPr>
    </w:p>
    <w:p>
      <w:pPr>
        <w:ind w:left="1020" w:right="240" w:hanging="504"/>
        <w:spacing w:after="0" w:line="24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89" w:lineRule="exact"/>
        <w:rPr>
          <w:rFonts w:ascii="Arial" w:cs="Arial" w:eastAsia="Arial" w:hAnsi="Arial"/>
          <w:sz w:val="18"/>
          <w:szCs w:val="18"/>
          <w:color w:val="auto"/>
        </w:rPr>
      </w:pPr>
    </w:p>
    <w:p>
      <w:pPr>
        <w:ind w:left="1020" w:right="120" w:hanging="504"/>
        <w:spacing w:after="0" w:line="24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Arial" w:cs="Arial" w:eastAsia="Arial" w:hAnsi="Arial"/>
          <w:sz w:val="18"/>
          <w:szCs w:val="18"/>
          <w:color w:val="auto"/>
        </w:rPr>
      </w:pPr>
    </w:p>
    <w:p>
      <w:pPr>
        <w:ind w:left="1020" w:right="540" w:hanging="504"/>
        <w:spacing w:after="0" w:line="24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89" w:lineRule="exact"/>
        <w:rPr>
          <w:rFonts w:ascii="Arial" w:cs="Arial" w:eastAsia="Arial" w:hAnsi="Arial"/>
          <w:sz w:val="18"/>
          <w:szCs w:val="18"/>
          <w:color w:val="auto"/>
        </w:rPr>
      </w:pPr>
    </w:p>
    <w:p>
      <w:pPr>
        <w:ind w:left="1020" w:right="80" w:hanging="504"/>
        <w:spacing w:after="0" w:line="24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information technology systems, or those used by our third-party research institution collaborators, CROs or other contractors or consultants, may fail or suffer security breaches and other disruptions.</w:t>
      </w:r>
    </w:p>
    <w:p>
      <w:pPr>
        <w:spacing w:after="0" w:line="175" w:lineRule="exact"/>
        <w:rPr>
          <w:sz w:val="20"/>
          <w:szCs w:val="20"/>
          <w:color w:val="auto"/>
        </w:rPr>
      </w:pPr>
    </w:p>
    <w:p>
      <w:pPr>
        <w:jc w:val="both"/>
        <w:ind w:firstLine="644"/>
        <w:spacing w:after="0" w:line="261"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1" w:name="page92"/>
    <w:bookmarkEnd w:id="91"/>
    <w:p>
      <w:pPr>
        <w:jc w:val="both"/>
        <w:spacing w:after="0" w:line="235" w:lineRule="auto"/>
        <w:rPr>
          <w:sz w:val="20"/>
          <w:szCs w:val="20"/>
          <w:color w:val="auto"/>
        </w:rPr>
      </w:pPr>
      <w:r>
        <w:rPr>
          <w:rFonts w:ascii="Arial" w:cs="Arial" w:eastAsia="Arial" w:hAnsi="Arial"/>
          <w:sz w:val="18"/>
          <w:szCs w:val="18"/>
          <w:color w:val="auto"/>
        </w:rPr>
        <w:t>customers and our employees and contractors. It is critical that we do so in a secure manner to maintain the confidentiality and integrity of such confidential information. Despite the implementation of security measures, our internal information technology systems and those of our collaborators, future CROs and other contractors and consultants may be vulnerable to attack, damage and interruption from computer viruses and malware (e.g. ransomware), malicious code, natural disasters, terrorism, war, telecommunication and electrical failures, hacking, cyberattacks, phishing attacks and other social engineering schemes, denial or degradation of service attacks, unauthorized access or use,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As a result of the COVID-19 pandemic, we and our third party service providers and partners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Our third party service providers and partners are also subject to these heightened risks. The costs to us to investigate and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negative publicity and other harm to our business and our competitive position.</w:t>
      </w:r>
    </w:p>
    <w:p>
      <w:pPr>
        <w:spacing w:after="0" w:line="20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and certain of our service providers have experienced certain cyberattacks and security incidents from time to time. Although to our knowledge we have not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data or other proprietary or sensitive information or other similar disruptions. For example, the loss of clinical trial data from completed, ongoing or future clinical trials could result in delays in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candidates and other third parties for the manufacture of our product candidates and to conduct clinical trials, and similar events relating to their information technology systems could also seriously harm our business. Any security compromise affecting us, our partners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candidates could be delayed. Any losses, costs or liabilities may not be covered by, or may exceed the coverage limits of, any applicable insurance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business.</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2" w:name="page93"/>
    <w:bookmarkEnd w:id="92"/>
    <w:p>
      <w:pPr>
        <w:jc w:val="both"/>
        <w:spacing w:after="0" w:line="245" w:lineRule="auto"/>
        <w:rPr>
          <w:sz w:val="20"/>
          <w:szCs w:val="20"/>
          <w:color w:val="auto"/>
        </w:rPr>
      </w:pPr>
      <w:r>
        <w:rPr>
          <w:rFonts w:ascii="Arial" w:cs="Arial" w:eastAsia="Arial" w:hAnsi="Arial"/>
          <w:sz w:val="18"/>
          <w:szCs w:val="18"/>
          <w:color w:val="auto"/>
        </w:rPr>
        <w:t>they may be affected by government shutdowns or withdrawn funding. The occurrence of any of these business disruptions could seriously harm our business.</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All of our operations including our corporate headquarters are located in multiple facilities in Emeryville, California. Damage or extended periods of interruption to our corporate, development or research facilities due to fire, earthquake and other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could be seriously harmed by such delays and interruption.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seriously harm our business.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as amended by the Health Information Technology for Economic and Clinical Health Act of 2009, and regulations implemented thereunder (collectively, “HIPAA”), imposes, among other things, certain standards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California enacted the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CPRA, which went into effect on January 1, 2023, significantly amends the CCPA and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3" w:name="page94"/>
    <w:bookmarkEnd w:id="93"/>
    <w:p>
      <w:pPr>
        <w:jc w:val="both"/>
        <w:spacing w:after="0" w:line="237" w:lineRule="auto"/>
        <w:rPr>
          <w:sz w:val="20"/>
          <w:szCs w:val="20"/>
          <w:color w:val="auto"/>
        </w:rPr>
      </w:pPr>
      <w:r>
        <w:rPr>
          <w:rFonts w:ascii="Arial" w:cs="Arial" w:eastAsia="Arial" w:hAnsi="Arial"/>
          <w:sz w:val="18"/>
          <w:szCs w:val="18"/>
          <w:color w:val="auto"/>
        </w:rPr>
        <w:t>security enforcement. Additional compliance investment and potential business process changes may be required. Similar laws have passed in Virginia, Colorado, Utah, and Connecticut,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In Europe, the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For example, in July 2020, the CJEU limited how organizations could lawfully transfer personal data from the EEA to the United States by invalidating the Privacy Shield for purposes of international transfers and imposing further restrictions on use of the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2020 have taken a restrictive approach to international data transfers. As the enforcement landscape further develops, and supervisory authorities issue further guidance on – and revised SCCs for - international data transfers, we could suffer additional costs, complaints and/or regulatory investigations or fines; we may have to stop using certain tools and vendors and make other operational changes; and/or it could otherwise affect the manner in which we provide our services, and could adversely affect our business, operations and financial condition.</w:t>
      </w:r>
    </w:p>
    <w:p>
      <w:pPr>
        <w:spacing w:after="0" w:line="209"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Further, from January 1, 2021, companies have had to comply with the GDPR and also the United Kingdom GDPR, or the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 Failure or perceived failure to comply with the GDPR, the UK GDPR, and other countries’ privacy or data security-related laws, rules or regulations could result in significant regulatory penalties and fines, affect our compliance with contracts entered into with our partners, collaborators and other third-party payors, and could have an adverse effect on our reputation, business and financial condition.</w:t>
      </w:r>
    </w:p>
    <w:p>
      <w:pPr>
        <w:spacing w:after="0" w:line="20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Under Sections 382 and 383 of the United States Internal Revenue Code of 1986, as amended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(“NOLs”) and other pre-change tax attributes to offset its post-change taxable income or taxes may be limited. If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4" w:name="page95"/>
    <w:bookmarkEnd w:id="94"/>
    <w:p>
      <w:pPr>
        <w:jc w:val="both"/>
        <w:spacing w:after="0" w:line="237" w:lineRule="auto"/>
        <w:rPr>
          <w:sz w:val="20"/>
          <w:szCs w:val="20"/>
          <w:color w:val="auto"/>
        </w:rPr>
      </w:pPr>
      <w:r>
        <w:rPr>
          <w:rFonts w:ascii="Arial" w:cs="Arial" w:eastAsia="Arial" w:hAnsi="Arial"/>
          <w:sz w:val="18"/>
          <w:szCs w:val="18"/>
          <w:color w:val="auto"/>
        </w:rPr>
        <w:t>finalized, Treasury Regulations currently proposed under Section 382 of the Code may further limit our ability to utilize our pre -change NOLs or other pre-change tax attributes if we undergo a future ownership change. We have experienced ownership changes in the past. We may also experience ownership changes as a result of any future shifts in our stock ownership, some of which are outside our control. As a result, our ability to use our NOLs and other pre-change tax attributes to offset post-change taxable income or taxes may be subject to limitation. We will be unable to use our NOLs or other tax attributes if we do not attain profitability sufficient to offset our available NOLs or other tax attributes prior to their expiration, to the extent subject to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seriously harm our business.</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of the factors that may cause the market price of our common stock to fluctuate include:</w:t>
      </w:r>
    </w:p>
    <w:p>
      <w:pPr>
        <w:spacing w:after="0" w:line="103" w:lineRule="exact"/>
        <w:rPr>
          <w:sz w:val="20"/>
          <w:szCs w:val="20"/>
          <w:color w:val="auto"/>
        </w:rPr>
      </w:pPr>
    </w:p>
    <w:p>
      <w:pPr>
        <w:ind w:left="1020" w:right="1060" w:hanging="504"/>
        <w:spacing w:after="0" w:line="24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from, and any delays in, our clinical trials for our clinical-stage product candidates or any other future clinical development programs, including any delays related to the COVID-19 pandemic;</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develop our Therapeutic Vector Evolution platform technology;</w:t>
      </w:r>
    </w:p>
    <w:p>
      <w:pPr>
        <w:spacing w:after="0" w:line="116" w:lineRule="exact"/>
        <w:rPr>
          <w:rFonts w:ascii="Arial" w:cs="Arial" w:eastAsia="Arial" w:hAnsi="Arial"/>
          <w:sz w:val="18"/>
          <w:szCs w:val="18"/>
          <w:color w:val="auto"/>
        </w:rPr>
      </w:pPr>
    </w:p>
    <w:p>
      <w:pPr>
        <w:ind w:left="1020" w:right="220" w:hanging="504"/>
        <w:spacing w:after="0" w:line="24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89" w:lineRule="exact"/>
        <w:rPr>
          <w:rFonts w:ascii="Arial" w:cs="Arial" w:eastAsia="Arial" w:hAnsi="Arial"/>
          <w:sz w:val="18"/>
          <w:szCs w:val="18"/>
          <w:color w:val="auto"/>
        </w:rPr>
      </w:pPr>
    </w:p>
    <w:p>
      <w:pPr>
        <w:ind w:left="1020" w:right="400" w:hanging="504"/>
        <w:spacing w:after="0" w:line="24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including sanctions imposed by either the U.S. or foreign governments;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the research programs or product candidates that we may develop;</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6" w:lineRule="exact"/>
        <w:rPr>
          <w:rFonts w:ascii="Arial" w:cs="Arial" w:eastAsia="Arial" w:hAnsi="Arial"/>
          <w:sz w:val="18"/>
          <w:szCs w:val="18"/>
          <w:color w:val="auto"/>
        </w:rPr>
      </w:pPr>
    </w:p>
    <w:p>
      <w:pPr>
        <w:ind w:left="1020" w:right="520" w:hanging="504"/>
        <w:spacing w:after="0" w:line="24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5" w:name="page96"/>
    <w:bookmarkEnd w:id="95"/>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Arial" w:cs="Arial" w:eastAsia="Arial" w:hAnsi="Arial"/>
          <w:sz w:val="18"/>
          <w:szCs w:val="18"/>
          <w:color w:val="auto"/>
        </w:rPr>
      </w:pPr>
    </w:p>
    <w:p>
      <w:pPr>
        <w:ind w:left="1020" w:right="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political instability, natural disasters, war and/or events of terrorism, such as the war between Ukraine and Russia, and the corresponding tensions created from such conflict between Russia, the United States and countries in Europe as well as other countries such as China;</w:t>
      </w:r>
    </w:p>
    <w:p>
      <w:pPr>
        <w:spacing w:after="0" w:line="93"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Further, the stock market in general has been highly volatile due to the COVID-19 pandemic, macroeconomic factors such as higher inflation and increased interest rates and political uncertainty in the United States. Broad market and industry factors may seriously affect the market price of our common stock, regardless of our actual operating performance. Since the completion of our initial public offering in December 2020, the price of our common stock has been volatile, and we expect such volatility to continue.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currently have research coverage by seven financial analysts. If one or more of these analysts should drop research coverage of us or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occur at any time, which could cause the market price of our common stock to decline significantly, even if our business is doing well.</w:t>
      </w:r>
    </w:p>
    <w:p>
      <w:pPr>
        <w:spacing w:after="0" w:line="17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our common stock intend to sell shares, could reduce the market price of our common stock.</w:t>
      </w:r>
    </w:p>
    <w:p>
      <w:pPr>
        <w:spacing w:after="0" w:line="202" w:lineRule="exact"/>
        <w:rPr>
          <w:sz w:val="20"/>
          <w:szCs w:val="20"/>
          <w:color w:val="auto"/>
        </w:rPr>
      </w:pPr>
    </w:p>
    <w:p>
      <w:pPr>
        <w:jc w:val="both"/>
        <w:ind w:right="120" w:firstLine="644"/>
        <w:spacing w:after="0"/>
        <w:rPr>
          <w:sz w:val="20"/>
          <w:szCs w:val="20"/>
          <w:color w:val="auto"/>
        </w:rPr>
      </w:pPr>
      <w:r>
        <w:rPr>
          <w:rFonts w:ascii="Arial" w:cs="Arial" w:eastAsia="Arial" w:hAnsi="Arial"/>
          <w:sz w:val="18"/>
          <w:szCs w:val="18"/>
          <w:color w:val="auto"/>
        </w:rPr>
        <w:t>Further, 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(the “Securities Act”).</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Moreover, holders of an aggregate of 11.6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96" w:name="page97"/>
    <w:bookmarkEnd w:id="96"/>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Insiders have substantial influence over us, which could limit your ability to affect the outcome of key transactions, including a change of control.</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directors, executive officers, holders of more than 5% of our outstanding stock and their respective affiliates beneficially own shares representing approximately 55% of our outstanding common stock as of December 31, 2022.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(2) the last day of the year in which we have total annual gross revenue of at least $1.07 billion, (3) the last day of the year in which we are deemed to be a “large accelerated filer” as defined in Rule 12b-2 under the Exchange Act, which would occur if the market value of our common stock held by non-affiliates exceeded $700.0 million as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7" w:name="page98"/>
    <w:bookmarkEnd w:id="97"/>
    <w:p>
      <w:pPr>
        <w:jc w:val="both"/>
        <w:spacing w:after="0" w:line="245" w:lineRule="auto"/>
        <w:rPr>
          <w:sz w:val="20"/>
          <w:szCs w:val="20"/>
          <w:color w:val="auto"/>
        </w:rPr>
      </w:pPr>
      <w:r>
        <w:rPr>
          <w:rFonts w:ascii="Arial" w:cs="Arial" w:eastAsia="Arial" w:hAnsi="Arial"/>
          <w:sz w:val="18"/>
          <w:szCs w:val="18"/>
          <w:color w:val="auto"/>
        </w:rPr>
        <w:t>the last business day of the second fiscal quarter of such year or (4) the date on which we have issued more than $1.0 billion in non-convertible debt securities during the prior three-year period.</w:t>
      </w:r>
    </w:p>
    <w:p>
      <w:pPr>
        <w:spacing w:after="0" w:line="19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seriously harm our business.</w:t>
      </w:r>
    </w:p>
    <w:p>
      <w:pPr>
        <w:spacing w:after="0" w:line="19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have and will likely continue to increase our legal and financial compliance costs and will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w:t>
      </w:r>
    </w:p>
    <w:p>
      <w:pPr>
        <w:spacing w:after="0" w:line="206"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when required to do so,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will be required to file accurate and timely quarterly and annual reports with the SEC under the Exchange Act. In order to report our results of operations and financial statements on an accurate and timely basis, we will depend in part on CROs to provide timely and accurate notice of their costs to us.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98" w:name="page99"/>
    <w:bookmarkEnd w:id="98"/>
    <w:p>
      <w:pPr>
        <w:jc w:val="both"/>
        <w:spacing w:after="0" w:line="252"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93"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94" w:lineRule="exact"/>
        <w:rPr>
          <w:sz w:val="20"/>
          <w:szCs w:val="20"/>
          <w:color w:val="auto"/>
        </w:rPr>
      </w:pPr>
    </w:p>
    <w:p>
      <w:pPr>
        <w:ind w:left="1020" w:right="40" w:hanging="504"/>
        <w:spacing w:after="0" w:line="245"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6" w:lineRule="exact"/>
        <w:rPr>
          <w:rFonts w:ascii="Arial" w:cs="Arial" w:eastAsia="Arial" w:hAnsi="Arial"/>
          <w:sz w:val="18"/>
          <w:szCs w:val="18"/>
          <w:color w:val="auto"/>
        </w:rPr>
      </w:pPr>
    </w:p>
    <w:p>
      <w:pPr>
        <w:ind w:left="1020" w:right="440" w:hanging="504"/>
        <w:spacing w:after="0" w:line="245"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 staggered board, which will result in only a few directors being up for re-election in each calendar year;</w:t>
      </w:r>
    </w:p>
    <w:p>
      <w:pPr>
        <w:spacing w:after="0" w:line="116" w:lineRule="exact"/>
        <w:rPr>
          <w:rFonts w:ascii="Arial" w:cs="Arial" w:eastAsia="Arial" w:hAnsi="Arial"/>
          <w:sz w:val="18"/>
          <w:szCs w:val="18"/>
          <w:color w:val="auto"/>
        </w:rPr>
      </w:pPr>
    </w:p>
    <w:p>
      <w:pPr>
        <w:ind w:left="1020" w:right="720" w:hanging="504"/>
        <w:spacing w:after="0" w:line="245"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w:t>
      </w:r>
    </w:p>
    <w:p>
      <w:pPr>
        <w:spacing w:after="0" w:line="116" w:lineRule="exact"/>
        <w:rPr>
          <w:rFonts w:ascii="Arial" w:cs="Arial" w:eastAsia="Arial" w:hAnsi="Arial"/>
          <w:sz w:val="18"/>
          <w:szCs w:val="18"/>
          <w:color w:val="auto"/>
        </w:rPr>
      </w:pPr>
    </w:p>
    <w:p>
      <w:pPr>
        <w:ind w:left="1020" w:right="300" w:hanging="504"/>
        <w:spacing w:after="0" w:line="245"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our common stock to amend many of the provisions described above;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liability of, and provide indemnification to, our directors and officers.</w:t>
      </w:r>
    </w:p>
    <w:p>
      <w:pPr>
        <w:spacing w:after="0" w:line="2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5"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9" w:name="page100"/>
    <w:bookmarkEnd w:id="99"/>
    <w:p>
      <w:pPr>
        <w:ind w:firstLine="644"/>
        <w:spacing w:after="0" w:line="245"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90" w:lineRule="exact"/>
        <w:rPr>
          <w:sz w:val="20"/>
          <w:szCs w:val="20"/>
          <w:color w:val="auto"/>
        </w:rPr>
      </w:pPr>
    </w:p>
    <w:p>
      <w:pPr>
        <w:ind w:left="1020" w:right="120" w:hanging="504"/>
        <w:spacing w:after="0" w:line="23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97" w:lineRule="exact"/>
        <w:rPr>
          <w:rFonts w:ascii="Arial" w:cs="Arial" w:eastAsia="Arial" w:hAnsi="Arial"/>
          <w:sz w:val="18"/>
          <w:szCs w:val="18"/>
          <w:color w:val="auto"/>
        </w:rPr>
      </w:pPr>
    </w:p>
    <w:p>
      <w:pPr>
        <w:ind w:left="1020" w:right="600" w:hanging="504"/>
        <w:spacing w:after="0" w:line="24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89" w:lineRule="exact"/>
        <w:rPr>
          <w:rFonts w:ascii="Arial" w:cs="Arial" w:eastAsia="Arial" w:hAnsi="Arial"/>
          <w:sz w:val="18"/>
          <w:szCs w:val="18"/>
          <w:color w:val="auto"/>
        </w:rPr>
      </w:pPr>
    </w:p>
    <w:p>
      <w:pPr>
        <w:ind w:left="1020" w:right="40" w:hanging="50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93" w:lineRule="exact"/>
        <w:rPr>
          <w:rFonts w:ascii="Arial" w:cs="Arial" w:eastAsia="Arial" w:hAnsi="Arial"/>
          <w:sz w:val="18"/>
          <w:szCs w:val="18"/>
          <w:color w:val="auto"/>
        </w:rPr>
      </w:pPr>
    </w:p>
    <w:p>
      <w:pPr>
        <w:ind w:left="1020" w:right="520" w:hanging="504"/>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93" w:lineRule="exact"/>
        <w:rPr>
          <w:rFonts w:ascii="Arial" w:cs="Arial" w:eastAsia="Arial" w:hAnsi="Arial"/>
          <w:sz w:val="18"/>
          <w:szCs w:val="18"/>
          <w:color w:val="auto"/>
        </w:rPr>
      </w:pPr>
    </w:p>
    <w:p>
      <w:pPr>
        <w:ind w:left="1020" w:right="140" w:hanging="504"/>
        <w:spacing w:after="0" w:line="274" w:lineRule="auto"/>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66" w:lineRule="exact"/>
        <w:rPr>
          <w:rFonts w:ascii="Arial" w:cs="Arial" w:eastAsia="Arial" w:hAnsi="Arial"/>
          <w:sz w:val="17"/>
          <w:szCs w:val="17"/>
          <w:color w:val="auto"/>
        </w:rPr>
      </w:pPr>
    </w:p>
    <w:p>
      <w:pPr>
        <w:ind w:left="1020" w:right="640" w:hanging="504"/>
        <w:spacing w:after="0" w:line="24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certain disputes between us and our stockholders, which could limit our stockholders’ ability to obtain a favorable judicial forum for disputes with us or our directors, officers or employees.</w:t>
      </w:r>
    </w:p>
    <w:p>
      <w:pPr>
        <w:spacing w:after="0" w:line="19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will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precludes stockholders that assert claims under the Exchange Act from bringing such claims in state or federal court, subject to applicable law.</w:t>
      </w:r>
    </w:p>
    <w:p>
      <w:pPr>
        <w:spacing w:after="0" w:line="210"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0" w:name="page101"/>
    <w:bookmarkEnd w:id="100"/>
    <w:p>
      <w:pPr>
        <w:jc w:val="both"/>
        <w:spacing w:after="0" w:line="236" w:lineRule="auto"/>
        <w:rPr>
          <w:sz w:val="20"/>
          <w:szCs w:val="20"/>
          <w:color w:val="auto"/>
        </w:rPr>
      </w:pPr>
      <w:r>
        <w:rPr>
          <w:rFonts w:ascii="Arial" w:cs="Arial" w:eastAsia="Arial" w:hAnsi="Arial"/>
          <w:sz w:val="18"/>
          <w:szCs w:val="18"/>
          <w:color w:val="auto"/>
        </w:rPr>
        <w:t>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seriously harm our business.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continuation of hostilities in Ukraine may exacerbate certain risks we face.</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Russia’s invasion of Ukraine in February 2022 and the global response, including the imposition of sanctions by the United States and other countries, could create or exacerbate risks facing our business. We have evaluated our operations and partner contracts, and we currently do not expect the conflict to directly have a significant effect on our financial condition or results of operations. However, if the hostilities persist, escalate or expand, risks that we have identified in this Quarterly Report on Form 10-Q may be materially increased. For example, if our supply arrangements or clinical operations are disrupted due to expanded sanctions or involvement of countries where we have operations or relationships, our business could be materially disrupted. Further, the use of cyberattacks could expand as part of the ongoing conflict, which could adversely affect our ability to maintain or enhance our cyber security measures. These and other risks are described more fully in this “Risk Factors” section.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Any legal proceedings or claims against us could be costly and time-consuming to defend and could harm our reputation regardless of the outcome.</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may in the future become subject to legal proceedings and claims that arise in the ordinary course of business, such as disputes or employment claims made by our current or former employees. Any litigation, whether meritorious or not, could harm our reputation, will increase our costs and may divert management’s attention, time and resources, which may in turn seriously harm our business.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seriously harm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5"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1" w:name="page102"/>
    <w:bookmarkEnd w:id="101"/>
    <w:p>
      <w:pPr>
        <w:jc w:val="both"/>
        <w:spacing w:after="0" w:line="237" w:lineRule="auto"/>
        <w:rPr>
          <w:sz w:val="20"/>
          <w:szCs w:val="20"/>
          <w:color w:val="auto"/>
        </w:rPr>
      </w:pPr>
      <w:r>
        <w:rPr>
          <w:rFonts w:ascii="Arial" w:cs="Arial" w:eastAsia="Arial" w:hAnsi="Arial"/>
          <w:sz w:val="18"/>
          <w:szCs w:val="18"/>
          <w:color w:val="auto"/>
        </w:rPr>
        <w:t>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cease commercialization of our product candidates. Even successful defense would require significant financial and management resources. Regardless of the merits or eventual outcome, liability claims may result in:</w:t>
      </w:r>
    </w:p>
    <w:p>
      <w:pPr>
        <w:spacing w:after="0" w:line="97" w:lineRule="exact"/>
        <w:rPr>
          <w:sz w:val="20"/>
          <w:szCs w:val="20"/>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employees, independent contractors, consultants, research or commercial partners or collaborators and vendors may engage in misconduct or other improper activities, including noncompliance with regulatory standards and requirements.</w:t>
      </w:r>
    </w:p>
    <w:p>
      <w:pPr>
        <w:spacing w:after="0" w:line="17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We are exposed to the risk of fraud, misconduct or other illegal activity by our employees, independent contractors, consultants, research or commercial partners or other collaborators, including the foundations we work with,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2" w:name="page103"/>
    <w:bookmarkEnd w:id="102"/>
    <w:p>
      <w:pPr>
        <w:jc w:val="both"/>
        <w:spacing w:after="0" w:line="237" w:lineRule="auto"/>
        <w:rPr>
          <w:sz w:val="20"/>
          <w:szCs w:val="20"/>
          <w:color w:val="auto"/>
        </w:rPr>
      </w:pPr>
      <w:r>
        <w:rPr>
          <w:rFonts w:ascii="Arial" w:cs="Arial" w:eastAsia="Arial" w:hAnsi="Arial"/>
          <w:sz w:val="18"/>
          <w:szCs w:val="18"/>
          <w:color w:val="auto"/>
        </w:rPr>
        <w:t>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In addition, we are subject to the risk that a person or government could allege such fraud or other misconduct, even if none occurred. If any such actions are instituted against us, and we are not successful in defending ourselves or asserting our rights, those actions could seriously harm our business, including the imposition of significant fines or other sanctions.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seriously harm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3" w:name="page104"/>
    <w:bookmarkEnd w:id="103"/>
    <w:p>
      <w:pPr>
        <w:jc w:val="both"/>
        <w:spacing w:after="0" w:line="252" w:lineRule="auto"/>
        <w:rPr>
          <w:sz w:val="20"/>
          <w:szCs w:val="20"/>
          <w:color w:val="auto"/>
        </w:rPr>
      </w:pPr>
      <w:r>
        <w:rPr>
          <w:rFonts w:ascii="Arial" w:cs="Arial" w:eastAsia="Arial" w:hAnsi="Arial"/>
          <w:sz w:val="18"/>
          <w:szCs w:val="18"/>
          <w:b w:val="1"/>
          <w:bCs w:val="1"/>
          <w:i w:val="1"/>
          <w:iCs w:val="1"/>
          <w:color w:val="auto"/>
        </w:rPr>
        <w:t>We may fail to comply with any of our obligations under existing or future agreements pursuant to which we license or have otherwise acquired intellectual property rights or technology, which could result in the loss of rights or technology that are material to our business.</w:t>
      </w:r>
    </w:p>
    <w:p>
      <w:pPr>
        <w:spacing w:after="0" w:line="19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are party to various agreements that we depend on to operate our business. Our rights to use currently licensed intellectual property, or intellectual property to be licensed in the future, are or will be subject to the continuation of and our compliance with the terms of these agreements. These agreements are complex, and certain provisions in such agreements may be susceptible to multiple interpretations which could lead to disputes, including but not limited to those regarding:</w:t>
      </w:r>
    </w:p>
    <w:p>
      <w:pPr>
        <w:spacing w:after="0" w:line="96" w:lineRule="exact"/>
        <w:rPr>
          <w:sz w:val="20"/>
          <w:szCs w:val="20"/>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Arial" w:cs="Arial" w:eastAsia="Arial" w:hAnsi="Arial"/>
          <w:sz w:val="18"/>
          <w:szCs w:val="18"/>
          <w:color w:val="auto"/>
        </w:rPr>
      </w:pPr>
    </w:p>
    <w:p>
      <w:pPr>
        <w:ind w:left="1020" w:right="160" w:hanging="504"/>
        <w:spacing w:after="0" w:line="245"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our proprietary technology and product candidates infringe on intellectual property of the licensor that is not subject to the licensing agreement;</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diligence obligations under the license agreement and what activities satisfy those diligence obligations;</w:t>
      </w:r>
    </w:p>
    <w:p>
      <w:pPr>
        <w:spacing w:after="0" w:line="116" w:lineRule="exact"/>
        <w:rPr>
          <w:rFonts w:ascii="Arial" w:cs="Arial" w:eastAsia="Arial" w:hAnsi="Arial"/>
          <w:sz w:val="18"/>
          <w:szCs w:val="18"/>
          <w:color w:val="auto"/>
        </w:rPr>
      </w:pPr>
    </w:p>
    <w:p>
      <w:pPr>
        <w:ind w:left="1020" w:right="100" w:hanging="504"/>
        <w:spacing w:after="0" w:line="245"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creation or use of intellectual property by us or our counterparties, alone or jointly;</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and duration of our payment obligations;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rights upon termination of such agreement;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and duration of exclusivity obligations of each party to the agreement.</w:t>
      </w:r>
    </w:p>
    <w:p>
      <w:pPr>
        <w:spacing w:after="0" w:line="2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resolution of any contractual interpretation dispute that may arise, if unfavorable to us, could seriously harm our business. Such resolution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If disputes over intellectual property rights that we have licensed or acquired from third parties prevent or impair our ability to maintain our current license agreements on acceptable terms, we may be unable to successfully develop and commercialize the affected product candidates. If we fail to comply with our obligations under current or future license agreements, these agreements may be terminated or the scope of our rights under them may be reduced and we might be unable to develop, manufacture or market any product that is licensed under these agreements.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could require us to spend significant time and money and could prevent us from selling our products.</w:t>
      </w:r>
    </w:p>
    <w:p>
      <w:pPr>
        <w:spacing w:after="0" w:line="17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However, our research, development and commercialization activities may be subject to claims that we infringe or otherwise violate patents or other intellectual property rights owned or controlled by third parties. Claims by third parties that we infringe their proprietary rights may result in liability for damages or prevent or delay our developmental and commercialization efforts. We cannot assure you that our operations do not, or will not in the future, infringe existing or future patents or other proprietary rights of third parties.</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Third parties may have or obtain patents or other proprietary rights that could limit our ability to make, use, sell, offer for sale or import our product candidates and future approved products, if any,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04" w:name="page105"/>
    <w:bookmarkEnd w:id="104"/>
    <w:p>
      <w:pPr>
        <w:jc w:val="both"/>
        <w:spacing w:after="0" w:line="238" w:lineRule="auto"/>
        <w:rPr>
          <w:sz w:val="20"/>
          <w:szCs w:val="20"/>
          <w:color w:val="auto"/>
        </w:rPr>
      </w:pPr>
      <w:r>
        <w:rPr>
          <w:rFonts w:ascii="Arial" w:cs="Arial" w:eastAsia="Arial" w:hAnsi="Arial"/>
          <w:sz w:val="18"/>
          <w:szCs w:val="18"/>
          <w:color w:val="auto"/>
        </w:rPr>
        <w:t>proceedings and post-grant review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spacing w:after="0" w:line="207"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As the biotechnology industry expands and more patents are issued, the risk increases that our product candidates may be subject to claims of infringement of the patent rights of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our product candidates or the use of our product candidates. As such,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 candidates. As a result, we may be unaware of third-party patents that may be infringed by commercialization of our product candidates, and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p>
      <w:pPr>
        <w:spacing w:after="0" w:line="100" w:lineRule="exact"/>
        <w:rPr>
          <w:sz w:val="20"/>
          <w:szCs w:val="20"/>
          <w:color w:val="auto"/>
        </w:rPr>
      </w:pPr>
    </w:p>
    <w:p>
      <w:pPr>
        <w:ind w:left="1020" w:hanging="50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 in costly litigation;</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16" w:lineRule="exact"/>
        <w:rPr>
          <w:rFonts w:ascii="Arial" w:cs="Arial" w:eastAsia="Arial" w:hAnsi="Arial"/>
          <w:sz w:val="18"/>
          <w:szCs w:val="18"/>
          <w:color w:val="auto"/>
        </w:rPr>
      </w:pPr>
    </w:p>
    <w:p>
      <w:pPr>
        <w:ind w:left="1020" w:right="60" w:hanging="504"/>
        <w:spacing w:after="0" w:line="24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prevent us from commercializing our product candidates until the asserted patent expires or is held finally invalid or not infringed in a court of law;</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Arial" w:cs="Arial" w:eastAsia="Arial" w:hAnsi="Arial"/>
          <w:sz w:val="18"/>
          <w:szCs w:val="18"/>
          <w:color w:val="auto"/>
        </w:rPr>
      </w:pPr>
    </w:p>
    <w:p>
      <w:pPr>
        <w:ind w:left="1020" w:right="260" w:hanging="504"/>
        <w:spacing w:after="0" w:line="24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pay damages to the party whose intellectual property rights we may be found to be infringing, which may include treble damages if we are found to have been willfully infringing such intellectual property;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5" w:name="page106"/>
    <w:bookmarkEnd w:id="105"/>
    <w:p>
      <w:pPr>
        <w:ind w:left="1020" w:right="140" w:hanging="504"/>
        <w:spacing w:after="0" w:line="24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us to pay the attorney’s fees and costs of litigation to the party whose intellectual property rights we may be found to be infringing; and/or</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w:t>
      </w:r>
    </w:p>
    <w:p>
      <w:pPr>
        <w:spacing w:after="0" w:line="22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report, others may hold proprietary rights that could prevent our product candidates or any future products from being marketed. Any patent-related legal action against us claiming damages and seeking to enjoin commercial activities relating to our product candidates or proprietary technologies could subject us to potential liability for damages, including treble damages if we were determined to willfully infringe, and require us to obtain a license to manufacture or market our product candidates or any future products. Defense of these claims, regardless of their merit, would involve substantial litigation expense and would be time-consuming and a substantial diversion of management and employee resources from our business. We cannot predict whether we would prevail in any such actions or that any license required under any of these patents would be made available on commercially acceptable terms, if at all. Even if such licenses are available, we could incur substantial costs related to royalty payments for licenses obtained from third parties, which could negatively affect our gross margins, and the rights may be non-exclusive, which could give our competitors access to the same technology or intellectual property rights licensed to us. In addition, we cannot be certain that we could redesign our product candidates or proprietary technologies to avoid infringement, if necessary, or on a cost-effective basis. Accordingly, an adverse determination in a judicial or administrative proceeding, or the failure to obtain necessary licenses, could prevent us from developing and commercializing our product candidates or any future products which could seriously harm our business. In addition, intellectual property litigation, regardless of its outcome, may cause negative publicity and could prohibit us from marketing or otherwise commercializing our product candidates and technology.</w:t>
      </w:r>
    </w:p>
    <w:p>
      <w:pPr>
        <w:spacing w:after="0" w:line="21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 Further, our issued patents could be found invalid or unenforceable if challenged.</w:t>
      </w:r>
    </w:p>
    <w:p>
      <w:pPr>
        <w:spacing w:after="0" w:line="17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or administrative tribunal may decide that a patent we own or 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Similar mechanisms for challenging the validity and enforceability of a patent exist in foreign patent offices and may result in the revocation, cancellation, or amendment of any foreign patents we hold in the future. The outcome following legal assertions of invalidity and unenforceability is unpredictable, and prior art could render our patents or those of our licensors invalid. If a defendant were to prevail on a legal assertion of invalidity and/or unenforceability, we could lose at least part, and perhaps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all, of the patent protection on an affected product candidate. Such a loss of patent protection would seriously harm our business.</w:t>
      </w:r>
    </w:p>
    <w:p>
      <w:pPr>
        <w:spacing w:after="0" w:line="21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or equivalent actions brought in foreign jurisdictions,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seriously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and seriously harm our business.</w:t>
      </w:r>
    </w:p>
    <w:p>
      <w:pPr>
        <w:spacing w:after="0" w:line="2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licenses.</w:t>
      </w:r>
    </w:p>
    <w:p>
      <w:pPr>
        <w:spacing w:after="0" w:line="17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license or use these proprietary rights. We may be unable to acquire or 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0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have collaborated with a U.S. academic institution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7" w:name="page108"/>
    <w:bookmarkEnd w:id="107"/>
    <w:p>
      <w:pPr>
        <w:jc w:val="both"/>
        <w:ind w:right="20"/>
        <w:spacing w:after="0" w:line="245" w:lineRule="auto"/>
        <w:rPr>
          <w:sz w:val="20"/>
          <w:szCs w:val="20"/>
          <w:color w:val="auto"/>
        </w:rPr>
      </w:pPr>
      <w:r>
        <w:rPr>
          <w:rFonts w:ascii="Arial" w:cs="Arial" w:eastAsia="Arial" w:hAnsi="Arial"/>
          <w:sz w:val="18"/>
          <w:szCs w:val="18"/>
          <w:color w:val="auto"/>
        </w:rPr>
        <w:t>to us. If we are unable to do so, the institution may offer the intellectual property rights to other parties, potentially blocking our ability to pursue our program.</w:t>
      </w:r>
    </w:p>
    <w:p>
      <w:pPr>
        <w:spacing w:after="0" w:line="19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could be seriously harmed.</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our employees or consultants have wrongfully used or disclosed alleged confidential information or trade secrets of their former or concurrent employers or former or current clients.</w:t>
      </w:r>
    </w:p>
    <w:p>
      <w:pPr>
        <w:spacing w:after="0" w:line="19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As is common in the biotechnology and biopharmaceutical industries,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or biopharmaceutical companies, including our competitors or potential competitors. Although we try to ensure that our employees and consultants do not use the proprietary information or know-how of others in their work for us, we may become subject to claims that we, our employees or a consultant inadvertently or otherwise used or disclosed trade secrets or other information proprietary to their former employers or their former or current clients. We may also be subject to claims that patents and applications we have filed to protect inventions of our employees or consultants, even those related to one or more of our product candidates, are rightfully owned by their former or concurrent employer or former or current client. Litigation may be necessary to defend against these claims. If we fail in defending any such claims, in addition to paying monetary damages, we may lose valuable intellectual property rights, which could seriously harm our business. Even if we are successful in defending against these claims, litigation could result in substantial costs and be a distraction to our management and other employees.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33"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Our agreements with employees and consultants provide that any inventions conceived by an individual in the course of rendering services to us shall be our exclusive property. Although our policy is to have all such individuals complete these agreements, we may not obtain these agreements in all circumstances, and individuals with whom we have these agreements may not comply with their terms. The assignment of intellectual property may not be self-executing and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We may also be subject to claims that former employees, consultants, or other third parties have an ownership interest in our patents or other intellectual property. In addition, we may face claims by third parties that our agreements with employees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seriously harm our business. Even if we are successful in defending against such claims, litigation could result in substantial costs and distraction to our management and other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seriously harmed.</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Depending upon the timing, duration and specifics of FDA marketing approval of any of our product candidates, one or more of our U.S. patents may be eligible for limited patent term restoration under the Drug Price Competition and Patent Term Restoration Act of 1984, also known as the Hatch-Waxman Amendments. The Hatch-Waxman Amendments permit a patent restoration term of up to five years as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8" w:name="page109"/>
    <w:bookmarkEnd w:id="108"/>
    <w:p>
      <w:pPr>
        <w:jc w:val="both"/>
        <w:spacing w:after="0" w:line="236" w:lineRule="auto"/>
        <w:rPr>
          <w:sz w:val="20"/>
          <w:szCs w:val="20"/>
          <w:color w:val="auto"/>
        </w:rPr>
      </w:pPr>
      <w:r>
        <w:rPr>
          <w:rFonts w:ascii="Arial" w:cs="Arial" w:eastAsia="Arial" w:hAnsi="Arial"/>
          <w:sz w:val="18"/>
          <w:szCs w:val="18"/>
          <w:color w:val="auto"/>
        </w:rPr>
        <w:t>compensation for patent term lost during product development and the FDA regulatory review process. The Hatch-Waxman Act allows a maximum of one patent to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of the applicable product, and our business may be seriously harmed.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Changes in patent law in the United States or in other countries could diminish the value of patents in general, thereby impairing our ability to protect our product candidates.</w:t>
      </w:r>
    </w:p>
    <w:p>
      <w:pPr>
        <w:spacing w:after="0" w:line="175"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Our patent rights may be affected by developments or uncertainty in the U.S. or foreign patent statutes, patent case laws, USPTO rules and regulations or in the rules and regulations of foreign patent offices.</w:t>
      </w:r>
    </w:p>
    <w:p>
      <w:pPr>
        <w:spacing w:after="0" w:line="198"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There are a number of recent changes to the U.S. patent laws that may have a significant impact on our ability to protect our technology and enforce our intellectual property rights. For example, on September 16, 2011, the Leahy-Smith America Invents Act (“Leahy-Smith Act”) was signed into law. The Leahy-Smith Act includes a number of significant changes to the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 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This could have a negative impact on some of our intellectual property and could increase uncertainties surrounding obtaining and enforcement or defense of our issued patents. In addition, Congress may pass patent reform legislation that is unfavorable to us.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 Similarly, statutory or judicial changes to the patent laws of other countries may increase the uncertainties and costs surrounding the prosecution of patent applications and the enforcement or defense of issued patents. Complying with these laws and regulations could limit our ability to obtain new patents in the future that may be important for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Filing, prosecuting and defending all current and future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09" w:name="page110"/>
    <w:bookmarkEnd w:id="109"/>
    <w:p>
      <w:pPr>
        <w:jc w:val="both"/>
        <w:spacing w:after="0"/>
        <w:rPr>
          <w:sz w:val="20"/>
          <w:szCs w:val="20"/>
          <w:color w:val="auto"/>
        </w:rPr>
      </w:pPr>
      <w:r>
        <w:rPr>
          <w:rFonts w:ascii="Arial" w:cs="Arial" w:eastAsia="Arial" w:hAnsi="Arial"/>
          <w:sz w:val="18"/>
          <w:szCs w:val="18"/>
          <w:color w:val="auto"/>
        </w:rPr>
        <w:t>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legal systems of many foreign countries do not favor the enforcement of patents and other intellectual property protection, which could make it difficult for us to stop the infringement of our patents or marketing of competing products in violation of our proprietary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If we or any of our licensors is forced to grant a license to third parties with respect to any patents relevant to our business, our business may be seriously harmed.</w:t>
      </w:r>
    </w:p>
    <w:p>
      <w:pPr>
        <w:spacing w:after="0" w:line="180"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3"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and if we 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 or our reporting of such matters.</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Institutional, individual, and other investors, proxy advisory services, regulatory authorities, consumers and other stakeholders are increasingly focused on environmental, social and governance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an investment or business partner, or expose us to government enforcement actions, private litigation, and actions by stockholders or stakeholders.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3"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corporate headquarters are located in Emeryville, California, where we lease approximately 59,000 square feet of office, research and development, engineering and laboratory space pursuant to lease agreements that expire in July 2024 and December 2029. We believe that our facilities are adequate to meet our current needs, and that suitable additional alternative spaces will be available in the future on commercially reasonable terms, if required.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liability for such matters when it believes that it is both probable that a liability may be imputed, and the amount of the liability can be reasonably estimated. Significant judgment by the Company is required to determine both probability and the estimated amount. Regardless of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5" w:lineRule="exact"/>
        <w:rPr>
          <w:sz w:val="20"/>
          <w:szCs w:val="20"/>
          <w:color w:val="auto"/>
        </w:rPr>
      </w:pPr>
    </w:p>
    <w:p>
      <w:pPr>
        <w:jc w:val="both"/>
        <w:ind w:right="20" w:firstLine="749"/>
        <w:spacing w:after="0" w:line="245" w:lineRule="auto"/>
        <w:rPr>
          <w:sz w:val="20"/>
          <w:szCs w:val="20"/>
          <w:color w:val="auto"/>
        </w:rPr>
      </w:pPr>
      <w:r>
        <w:rPr>
          <w:rFonts w:ascii="Arial" w:cs="Arial" w:eastAsia="Arial" w:hAnsi="Arial"/>
          <w:sz w:val="18"/>
          <w:szCs w:val="18"/>
          <w:color w:val="auto"/>
        </w:rPr>
        <w:t>Our common stock has been listed on the Nasdaq Global Select Market under the symbol “FDMT” since December 11, 2020. Prior to this date, there was no public market for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5" w:lineRule="exact"/>
        <w:rPr>
          <w:sz w:val="20"/>
          <w:szCs w:val="20"/>
          <w:color w:val="auto"/>
        </w:rPr>
      </w:pPr>
    </w:p>
    <w:p>
      <w:pPr>
        <w:jc w:val="both"/>
        <w:ind w:firstLine="618"/>
        <w:spacing w:after="0"/>
        <w:rPr>
          <w:sz w:val="20"/>
          <w:szCs w:val="20"/>
          <w:color w:val="auto"/>
        </w:rPr>
      </w:pPr>
      <w:r>
        <w:rPr>
          <w:rFonts w:ascii="Arial" w:cs="Arial" w:eastAsia="Arial" w:hAnsi="Arial"/>
          <w:sz w:val="18"/>
          <w:szCs w:val="18"/>
          <w:color w:val="auto"/>
        </w:rPr>
        <w:t>As of March 13, 2023, there were approximately 17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5"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cash dividends in the foreseeable future. Any future determination related to dividend policy will be made at the discretion of our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5" w:lineRule="exact"/>
        <w:rPr>
          <w:sz w:val="20"/>
          <w:szCs w:val="20"/>
          <w:color w:val="auto"/>
        </w:rPr>
      </w:pPr>
    </w:p>
    <w:p>
      <w:pPr>
        <w:jc w:val="both"/>
        <w:ind w:right="20" w:firstLine="618"/>
        <w:spacing w:after="0" w:line="245"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3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On December 15, 2020, we closed our IPO, in which we issued and sold 9,660,000 shares of common stock at a price to the public of $ 23.00 per share. We received net proceeds of $204.7 million, after deducting underwriting discounts and commissions of $15.6 million and offering costs of $1.9 million.</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None of the expenses associated with the IPO were paid to directors, officers, or persons owning 10% or more of any class of equity securities, or to their associates, or to our affiliates, other than payments in the ordinary course of business to officers for salaries. Goldman Sachs &amp; Co. LLC, BofA Securities and Evercore ISI acted as book-running managers for the offering.</w:t>
      </w:r>
    </w:p>
    <w:p>
      <w:pPr>
        <w:spacing w:after="0" w:line="202"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Shares of our common stock began trading on the Nasdaq Global Select Market on December 11, 2020. The shares were registered under the Securities Act on a Registration Statement on Form S-1 (File No. 333-250150), which was declared effective by the SEC on December 11, 2020.</w:t>
      </w:r>
    </w:p>
    <w:p>
      <w:pPr>
        <w:spacing w:after="0" w:line="94" w:lineRule="exact"/>
        <w:rPr>
          <w:sz w:val="20"/>
          <w:szCs w:val="20"/>
          <w:color w:val="auto"/>
        </w:rPr>
      </w:pPr>
    </w:p>
    <w:p>
      <w:pPr>
        <w:jc w:val="both"/>
        <w:ind w:firstLine="618"/>
        <w:spacing w:after="0" w:line="245"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dated December 11, 2020, filed with the SEC pursuant to Rule 424(b)(4) under the Securities Act.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Part II. Item 6 is no longer required pursuant to certain amendments to Regulation S-K that eliminated Item 301.</w:t>
      </w:r>
    </w:p>
    <w:p>
      <w:pPr>
        <w:spacing w:after="0" w:line="200" w:lineRule="exact"/>
        <w:rPr>
          <w:sz w:val="20"/>
          <w:szCs w:val="20"/>
          <w:color w:val="auto"/>
        </w:rPr>
      </w:pPr>
    </w:p>
    <w:p>
      <w:pPr>
        <w:spacing w:after="0" w:line="23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2"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included elsewhere in this Annual Report on Form 10-K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0"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are a clinical-stage biotherapeutics company harnessing the power of directed evolution for targeted genetic medicines. We seek to unlock the full potential of genetic medicines using our platform, Therapeutic Vector Evolution, which combines the power of directed evolution with our approximately one billion synthetic AAV capsid-derived sequences to invent evolved vectors for use in our products. We believe key features of our targeted and evolved vectors will help us to potentially create targeted genetic medicine product candidates with improved therapeutic profiles. These profiles will allow us to treat a broad range of large market diseases, unlike most current genetic medicines that generally focus on rare or small market diseases.</w:t>
      </w:r>
    </w:p>
    <w:p>
      <w:pPr>
        <w:spacing w:after="0" w:line="18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have built a deep portfolio of genetic medicine product candidates, with five product candidates in clinical trials: 4D-150 for the treatment of wet age-related macular degeneration ("wet AMD") and diabetic macular edema (“DME”), 4D-125 for the treatment of X-linked retinitis pigmentosa ("XLRP"), 4D-110 for the treatment of choroideremia, 4D-710 for the treatment of cystic fibrosis lung disease, and 4D-310 for the treatment of Fabry disease cardiomyopathy. In addition, we have two product candidates in preclinical studies: 4D-175 for geographic atrophy (“GA”) and 4D-725 for alpha-1 antitrypsin deficiency lung disease.</w:t>
      </w:r>
    </w:p>
    <w:p>
      <w:pPr>
        <w:spacing w:after="0" w:line="20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We have funded our operations primarily through the sale and issuance of equity securities and to a lesser extent from cash received pursuant to our collaboration and license agreements.</w:t>
      </w:r>
    </w:p>
    <w:p>
      <w:pPr>
        <w:spacing w:after="0" w:line="198"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incurred significant operating losses and expect that our operating losses will increase significantly as we, among other things, continue to advance our product candidates through preclinical and clinical development, seek regulatory approval, and prepare for, and, if approved, proceed to commercialization; broaden and improve our platform; acquire, discover, validate and develop additional product candidates; maintain, protect and enforce our intellectual property portfolio; and hire additional personnel.</w:t>
      </w:r>
    </w:p>
    <w:p>
      <w:pPr>
        <w:spacing w:after="0" w:line="204"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Our net losses were $107.5 million and $71.3 million for the years ended December 31, 2022 and 2021, respectively. As of December 31, 2022, we had an accumulated deficit of $ 314.5 million. We do not expect positive cash flows from operations in the foreseeable future. Our net losses may fluctuate significantly from quarter-to-quarter and year-to-year, depending on the timing of our clinical trials and our expenditures on other research and development activities.</w:t>
      </w:r>
    </w:p>
    <w:p>
      <w:pPr>
        <w:spacing w:after="0" w:line="204"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do not have any products approved for sale and have not generated any revenue from product sales since our inception. Our ability to generate product revenue will depend on the successful development, regulatory approval and eventual commercialization of one or more of our product candidates, if approved.</w:t>
      </w:r>
    </w:p>
    <w:p>
      <w:pPr>
        <w:spacing w:after="0" w:line="202"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collaborations, strategic partnerships, or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4" w:name="page115"/>
    <w:bookmarkEnd w:id="114"/>
    <w:p>
      <w:pPr>
        <w:jc w:val="both"/>
        <w:spacing w:after="0" w:line="236" w:lineRule="auto"/>
        <w:rPr>
          <w:sz w:val="20"/>
          <w:szCs w:val="20"/>
          <w:color w:val="auto"/>
        </w:rPr>
      </w:pPr>
      <w:r>
        <w:rPr>
          <w:rFonts w:ascii="Arial" w:cs="Arial" w:eastAsia="Arial" w:hAnsi="Arial"/>
          <w:sz w:val="18"/>
          <w:szCs w:val="18"/>
          <w:color w:val="auto"/>
        </w:rPr>
        <w:t>strategic arrangements, for the foreseeable future.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w:t>
      </w:r>
    </w:p>
    <w:p>
      <w:pPr>
        <w:spacing w:after="0" w:line="207"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extent of the impact of the continuing COVID-19 pandemic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our key scientific and management personnel.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3"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Our revenue to date has been generated through payments from our collaboration and license agreements, primarily from upfront and milestone payments and expense reimbursement. We have not generated any revenue from the sale of approved products and do not expect to do so for the foreseeable future. The primary drivers for revenue consist of the following:</w:t>
      </w:r>
    </w:p>
    <w:p>
      <w:pPr>
        <w:spacing w:after="0" w:line="94" w:lineRule="exact"/>
        <w:rPr>
          <w:sz w:val="20"/>
          <w:szCs w:val="20"/>
          <w:color w:val="auto"/>
        </w:rPr>
      </w:pPr>
    </w:p>
    <w:p>
      <w:pPr>
        <w:jc w:val="both"/>
        <w:ind w:left="900" w:hanging="248"/>
        <w:spacing w:after="0" w:line="23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uniQure: In August 2019, we amended our agreement with uniQure and entered into a separate new collaboration and license agreement with uniQure. Neither party was required to pay monetary consideration in connection with the amendment or new agreement. We determined the incremental transaction price of the amendment and new agreement to be $5.1 million and recorded the amount as deferred revenue in August 2019. We began recognizing revenue related to uniQure in 2020 and expect to recognize the remaining revenue under the agreement in 2023. We recognized revenue of $3.1 million during the year ended December 31, 2022 related to this agreement. See Note 7 to our financial statements included elsewhere in this report for further discussion regarding the accounting treatment of this agreement.</w:t>
      </w:r>
    </w:p>
    <w:p>
      <w:pPr>
        <w:spacing w:after="0" w:line="98" w:lineRule="exact"/>
        <w:rPr>
          <w:rFonts w:ascii="Arial" w:cs="Arial" w:eastAsia="Arial" w:hAnsi="Arial"/>
          <w:sz w:val="18"/>
          <w:szCs w:val="18"/>
          <w:color w:val="auto"/>
        </w:rPr>
      </w:pPr>
    </w:p>
    <w:p>
      <w:pPr>
        <w:jc w:val="both"/>
        <w:ind w:left="900" w:hanging="248"/>
        <w:spacing w:after="0" w:line="236"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Roche: In November 2017, we entered into a collaboration and license agreement with F. Hoffmann-La Roche Ltd and Hoffmann-La Roche Inc. (together, “Roche”). We received an upfront payment of $21.0 million in 2017, were reimbursed for our internal and third-party costs and were entitled to contingent payments, including milestone payments. In 2020, we received milestone payments totaling $10.0 million, which were comprised of a $5.0 million milestone payment upon the release of clinical trial material for our Phase 1 clinical trial for 4D-110 to treat choroideremia in the second quarter of 2020 and an additional $5.0 million milestone payment upon dosing our first patient in the trial in the third quarter of 2020. We began recognizing revenue related to this agreement in 2017. In June 2021, we received notice of termination of the collaboration and license agreement from Roche. The termination became effective on September 16, 2021. There was no revenue from Roche in 2022. See Note 7 to our financial statements included elsewhere in this report for further discussion regarding the accounting treatment of this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Future collaboration and license revenue is highly dependent on the successful development and commercialization of products by our collaboration partners, which is uncertain, and revenue may fluctuate significantly from period to period. Additionally, we may never receive the consideration from our license agreements that is contemplated for option fees, development and sales-based milestone payments or royalties on sales of licensed products, given the contingent nature of these payments. Our collaboration and license revenue in 2022 was primarily from uniQure.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research and development expenses primarily consist of costs incurred for the discovery and preclinical and clinical development of our product candidates. These expenses include salaries and personnel-related costs, including stock-based compensation of our scientific personnel performing research and development activities; laboratory supplies; research materials; fees paid to CROs to execute preclinical studies and clinical trials; fees paid to CMOs to manufacture materials for preclinical studies and clinical trials; fees related to obtaining technology licenses; consulting costs; costs related to seeking regulatory approval of our product candidates; and allocated facility-related costs, information technology costs, depreciation expense, and other overhead.</w:t>
      </w:r>
    </w:p>
    <w:p>
      <w:pPr>
        <w:spacing w:after="0" w:line="20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expense all research and development costs in the periods in which they are incurred. We have entered into various agreements with CROs and CMOs. Costs of certain activities are recognized based on an evaluation of the progress to completion of specific tasks. Payments made prior to the receipt of goods or services that will be used or rendered for future research and development activities are deferred and capitalized as prepaid expenses and other current assets on our balance sheet. The capitalized amounts are recognized as expense as the goods are delivered or the related services are performed.</w:t>
      </w:r>
    </w:p>
    <w:p>
      <w:pPr>
        <w:spacing w:after="0" w:line="20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We do not allocate our costs by product candidate, as a significant amount of research and development expenses includes internal costs, such as salary and other personnel-related expenses, laboratory supplies and allocated overhead, and external costs, such as fees paid to third parties to conduct research and development activities on our behalf, none of which are tracked by product candidate. In particular, with respect to internal costs, several of our departments support multiple product candidate research and development programs and, therefore, the costs cannot be allocated to a particular product candidate or development program.</w:t>
      </w:r>
    </w:p>
    <w:p>
      <w:pPr>
        <w:spacing w:after="0" w:line="20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At this time, we cannot reasonably estimate or know the nature, timing or estimated costs of the efforts that will be necessary to complete the development of, and obtain regulatory approval for, any of our product candidates. We expect our research and development expenses to increase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and incur expenses associated with hiring additional personnel to support our research and development efforts. The process of conducting the necessary clinical research to obtain regulatory approval is costly and time-consuming, and the successful development of our product candidates is highly uncertain. See the section titled “Risk Factors” for additional risks regarding regulatory development and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Our general and administrative expenses consist primarily of personnel-related expenses, including salaries, employee benefit costs and stock-based compensation expense for our personnel in executive, finance and accounting, human resources, business development, and other administrative functions. General and administrative expenses also include professional fees for legal, patent, consulting, accounting and tax services, allocated overhead, including rent, equipment, depreciation, information technology costs and utilities, and other general operating expenses not otherwise classified as research and development expenses.</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We expect our general and administrative expenses to increase as a result of increased personnel-related costs, patent costs for our product candidates, consulting, legal and accounting services associated with maintaining compliance with stock exchange listing and requirements of the SEC, investor relations costs, director and officer insurance premiums, and other costs associated with being a public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33" w:lineRule="exact"/>
        <w:rPr>
          <w:sz w:val="20"/>
          <w:szCs w:val="20"/>
          <w:color w:val="auto"/>
        </w:rPr>
      </w:pPr>
    </w:p>
    <w:p>
      <w:pPr>
        <w:jc w:val="both"/>
        <w:ind w:right="60" w:firstLine="644"/>
        <w:spacing w:after="0" w:line="245" w:lineRule="auto"/>
        <w:rPr>
          <w:sz w:val="20"/>
          <w:szCs w:val="20"/>
          <w:color w:val="auto"/>
        </w:rPr>
      </w:pPr>
      <w:r>
        <w:rPr>
          <w:rFonts w:ascii="Arial" w:cs="Arial" w:eastAsia="Arial" w:hAnsi="Arial"/>
          <w:sz w:val="18"/>
          <w:szCs w:val="18"/>
          <w:color w:val="auto"/>
        </w:rPr>
        <w:t>Our other income (expense) primarily consists of interest income earned on our cash equivalents, and marketable securities and adjustments for the change in the fair value of our derivative liability which must be remeasured at each reporting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results of operations for the periods indicated (dollars in thousands):</w:t>
      </w:r>
    </w:p>
    <w:p>
      <w:pPr>
        <w:spacing w:after="0" w:line="189"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 Change</w:t>
            </w:r>
          </w:p>
        </w:tc>
        <w:tc>
          <w:tcPr>
            <w:tcW w:w="17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200" w:type="dxa"/>
            <w:vAlign w:val="bottom"/>
          </w:tcPr>
          <w:p>
            <w:pPr>
              <w:ind w:left="280"/>
              <w:spacing w:after="0"/>
              <w:rPr>
                <w:sz w:val="20"/>
                <w:szCs w:val="20"/>
                <w:color w:val="auto"/>
              </w:rPr>
            </w:pPr>
            <w:r>
              <w:rPr>
                <w:rFonts w:ascii="Arial" w:cs="Arial" w:eastAsia="Arial" w:hAnsi="Arial"/>
                <w:sz w:val="18"/>
                <w:szCs w:val="18"/>
                <w:color w:val="auto"/>
              </w:rPr>
              <w:t>Collaboration and license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3,129</w:t>
            </w:r>
          </w:p>
        </w:tc>
        <w:tc>
          <w:tcPr>
            <w:tcW w:w="2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18,038</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(14,909 )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-83 %</w:t>
            </w: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20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80,253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18,893</w:t>
            </w:r>
          </w:p>
        </w:tc>
        <w:tc>
          <w:tcPr>
            <w:tcW w:w="2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420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4,897</w:t>
            </w:r>
          </w:p>
        </w:tc>
        <w:tc>
          <w:tcPr>
            <w:tcW w:w="2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4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20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113,161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23,790</w:t>
            </w:r>
          </w:p>
        </w:tc>
        <w:tc>
          <w:tcPr>
            <w:tcW w:w="2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color w:val="auto"/>
                <w:highlight w:val="white"/>
              </w:rPr>
              <w:t>%</w:t>
            </w:r>
          </w:p>
        </w:tc>
      </w:tr>
      <w:tr>
        <w:trPr>
          <w:trHeight w:val="20"/>
        </w:trPr>
        <w:tc>
          <w:tcPr>
            <w:tcW w:w="4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(110,032 )</w:t>
            </w:r>
          </w:p>
        </w:tc>
        <w:tc>
          <w:tcPr>
            <w:tcW w:w="3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(71,333 )</w:t>
            </w:r>
          </w:p>
        </w:tc>
        <w:tc>
          <w:tcPr>
            <w:tcW w:w="2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(38,699 )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net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15763 %</w:t>
            </w:r>
          </w:p>
        </w:tc>
      </w:tr>
      <w:tr>
        <w:trPr>
          <w:trHeight w:val="20"/>
        </w:trPr>
        <w:tc>
          <w:tcPr>
            <w:tcW w:w="4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(107,494 )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(71,317 )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(36,177 )</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4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7132320" cy="4540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6" w:lineRule="exact"/>
        <w:rPr>
          <w:sz w:val="20"/>
          <w:szCs w:val="20"/>
          <w:color w:val="auto"/>
        </w:rPr>
      </w:pPr>
    </w:p>
    <w:p>
      <w:pPr>
        <w:jc w:val="both"/>
        <w:ind w:right="60" w:firstLine="644"/>
        <w:spacing w:after="0" w:line="238" w:lineRule="auto"/>
        <w:rPr>
          <w:sz w:val="20"/>
          <w:szCs w:val="20"/>
          <w:color w:val="auto"/>
        </w:rPr>
      </w:pPr>
      <w:r>
        <w:rPr>
          <w:rFonts w:ascii="Arial" w:cs="Arial" w:eastAsia="Arial" w:hAnsi="Arial"/>
          <w:sz w:val="18"/>
          <w:szCs w:val="18"/>
          <w:color w:val="auto"/>
        </w:rPr>
        <w:t>Revenue for the year ended December 31, 2022 decreased by $14.9 million, or 83%, from the year ended December 31, 2021 primarily as a result of a $ 17.2 million decrease in revenue recognized under our collaboration and license agreement with Roche due to its termination in September 2021, partially offset by a $2.3 million increase in revenue recognized under our collaboration and license agreement with uniQure.</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provides a breakout of research and development expenses for the periods indicated (dollars in thousands):</w:t>
      </w:r>
    </w:p>
    <w:p>
      <w:pPr>
        <w:spacing w:after="0" w:line="189"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240" w:type="dxa"/>
            <w:vAlign w:val="bottom"/>
          </w:tcPr>
          <w:p>
            <w:pPr>
              <w:spacing w:after="0"/>
              <w:rPr>
                <w:sz w:val="19"/>
                <w:szCs w:val="19"/>
                <w:color w:val="auto"/>
              </w:rPr>
            </w:pPr>
          </w:p>
        </w:tc>
        <w:tc>
          <w:tcPr>
            <w:tcW w:w="17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4220" w:type="dxa"/>
            <w:vAlign w:val="bottom"/>
          </w:tcPr>
          <w:p>
            <w:pPr>
              <w:ind w:left="20"/>
              <w:spacing w:after="0"/>
              <w:rPr>
                <w:sz w:val="20"/>
                <w:szCs w:val="20"/>
                <w:color w:val="auto"/>
              </w:rPr>
            </w:pPr>
            <w:r>
              <w:rPr>
                <w:rFonts w:ascii="Arial" w:cs="Arial" w:eastAsia="Arial" w:hAnsi="Arial"/>
                <w:sz w:val="18"/>
                <w:szCs w:val="18"/>
                <w:color w:val="auto"/>
              </w:rPr>
              <w:t>Research and development trials and</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consumables expenses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30,886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26,335</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4,551</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Payroll and personnel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38,037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11,589</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8"/>
                <w:szCs w:val="18"/>
                <w:color w:val="auto"/>
              </w:rPr>
              <w:t>Facilities and other research and development</w:t>
            </w:r>
          </w:p>
        </w:tc>
        <w:tc>
          <w:tcPr>
            <w:tcW w:w="960" w:type="dxa"/>
            <w:vAlign w:val="bottom"/>
          </w:tcPr>
          <w:p>
            <w:pPr>
              <w:spacing w:after="0"/>
              <w:rPr>
                <w:sz w:val="18"/>
                <w:szCs w:val="18"/>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w w:val="94"/>
              </w:rPr>
              <w:t>11,330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8,577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2,753</w:t>
            </w:r>
          </w:p>
        </w:tc>
        <w:tc>
          <w:tcPr>
            <w:tcW w:w="240" w:type="dxa"/>
            <w:vAlign w:val="bottom"/>
            <w:vMerge w:val="restart"/>
          </w:tcPr>
          <w:p>
            <w:pPr>
              <w:spacing w:after="0"/>
              <w:rPr>
                <w:sz w:val="18"/>
                <w:szCs w:val="18"/>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96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80,253</w:t>
            </w:r>
          </w:p>
        </w:tc>
        <w:tc>
          <w:tcPr>
            <w:tcW w:w="3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61,360</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18,893</w:t>
            </w:r>
          </w:p>
        </w:tc>
        <w:tc>
          <w:tcPr>
            <w:tcW w:w="24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-1351915</wp:posOffset>
            </wp:positionV>
            <wp:extent cx="7132320" cy="273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4451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656" w:right="27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Research and development expenses for the year ended December 31, 2022 increased $18.9 million, or 31%, from the year ended</w:t>
      </w:r>
    </w:p>
    <w:p>
      <w:pPr>
        <w:spacing w:after="0"/>
        <w:rPr>
          <w:sz w:val="20"/>
          <w:szCs w:val="20"/>
          <w:color w:val="auto"/>
        </w:rPr>
      </w:pPr>
      <w:r>
        <w:rPr>
          <w:rFonts w:ascii="Arial" w:cs="Arial" w:eastAsia="Arial" w:hAnsi="Arial"/>
          <w:sz w:val="18"/>
          <w:szCs w:val="18"/>
          <w:color w:val="auto"/>
        </w:rPr>
        <w:t>December 31, 2021. The increase was due to the following:</w:t>
      </w:r>
    </w:p>
    <w:p>
      <w:pPr>
        <w:spacing w:after="0" w:line="103" w:lineRule="exact"/>
        <w:rPr>
          <w:sz w:val="20"/>
          <w:szCs w:val="20"/>
          <w:color w:val="auto"/>
        </w:rPr>
      </w:pPr>
    </w:p>
    <w:p>
      <w:pPr>
        <w:jc w:val="both"/>
        <w:ind w:left="1020" w:hanging="504"/>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$4.6 million increase in research and development trials and consumables expense primarily due to higher clinical trial costs of $5.1 million and consumables of $4.3 million, offset by lower preclinical costs of $3.7 million and lower other outside service costs of $1.1 million;</w:t>
      </w:r>
    </w:p>
    <w:p>
      <w:pPr>
        <w:spacing w:after="0" w:line="93" w:lineRule="exact"/>
        <w:rPr>
          <w:rFonts w:ascii="Arial" w:cs="Arial" w:eastAsia="Arial" w:hAnsi="Arial"/>
          <w:sz w:val="18"/>
          <w:szCs w:val="18"/>
          <w:color w:val="auto"/>
        </w:rPr>
      </w:pPr>
    </w:p>
    <w:p>
      <w:pPr>
        <w:ind w:left="1020" w:hanging="504"/>
        <w:spacing w:after="0" w:line="245"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$11.6 million increase in payroll and personnel expenses due to increased headcount of research and development personnel, including a $2.4 million increase in employee stock-based compensation expense; and</w:t>
      </w:r>
    </w:p>
    <w:p>
      <w:pPr>
        <w:spacing w:after="0" w:line="89" w:lineRule="exact"/>
        <w:rPr>
          <w:rFonts w:ascii="Arial" w:cs="Arial" w:eastAsia="Arial" w:hAnsi="Arial"/>
          <w:sz w:val="18"/>
          <w:szCs w:val="18"/>
          <w:color w:val="auto"/>
        </w:rPr>
      </w:pPr>
    </w:p>
    <w:p>
      <w:pPr>
        <w:ind w:left="1020" w:right="20" w:hanging="504"/>
        <w:spacing w:after="0" w:line="245"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$2.7 million increase in facilities and other research and development expenses primarily for allocated overhead, including rent, equipment, depreciation, information technology costs and utilities.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expenses for the year ended December 31, 2022 increased $4.9 million, or 17%, from the year ended</w:t>
      </w:r>
    </w:p>
    <w:p>
      <w:pPr>
        <w:spacing w:after="0"/>
        <w:rPr>
          <w:sz w:val="20"/>
          <w:szCs w:val="20"/>
          <w:color w:val="auto"/>
        </w:rPr>
      </w:pPr>
      <w:r>
        <w:rPr>
          <w:rFonts w:ascii="Arial" w:cs="Arial" w:eastAsia="Arial" w:hAnsi="Arial"/>
          <w:sz w:val="18"/>
          <w:szCs w:val="18"/>
          <w:color w:val="auto"/>
        </w:rPr>
        <w:t>December 31, 2021. The increase was due to:</w:t>
      </w:r>
    </w:p>
    <w:p>
      <w:pPr>
        <w:spacing w:after="0" w:line="103" w:lineRule="exact"/>
        <w:rPr>
          <w:sz w:val="20"/>
          <w:szCs w:val="20"/>
          <w:color w:val="auto"/>
        </w:rPr>
      </w:pPr>
    </w:p>
    <w:p>
      <w:pPr>
        <w:ind w:left="1020" w:hanging="504"/>
        <w:spacing w:after="0" w:line="245"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$3.0 million increase in personnel costs due to increased headcount of general and administrative personnel, including a $0.9 million increase in employee stock-based compensation expense;</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$0.6 million increase in professional services, including legal, accounting and other advisory services;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$1.3 million increase in other costs mainly consulting services and facilities-related expenses.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5" w:lineRule="exact"/>
        <w:rPr>
          <w:sz w:val="20"/>
          <w:szCs w:val="20"/>
          <w:color w:val="auto"/>
        </w:rPr>
      </w:pPr>
    </w:p>
    <w:p>
      <w:pPr>
        <w:jc w:val="both"/>
        <w:ind w:right="20" w:firstLine="637"/>
        <w:spacing w:after="0"/>
        <w:rPr>
          <w:sz w:val="20"/>
          <w:szCs w:val="20"/>
          <w:color w:val="auto"/>
        </w:rPr>
      </w:pPr>
      <w:r>
        <w:rPr>
          <w:rFonts w:ascii="Arial" w:cs="Arial" w:eastAsia="Arial" w:hAnsi="Arial"/>
          <w:sz w:val="18"/>
          <w:szCs w:val="18"/>
          <w:color w:val="auto"/>
        </w:rPr>
        <w:t>We have funded our operations primarily through the sale and issuance of our equity securities, including from the sale of our common stock in our IPO and Follow-on Offering and the sale of our Series A, Series A-1, Series B and Series C redeemable preferred stock, and to a lesser extent from cash received pursuant to our collaboration and license agreements.</w:t>
      </w:r>
    </w:p>
    <w:p>
      <w:pPr>
        <w:spacing w:after="0" w:line="202"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December 2020, we completed our IPO. We issued and sold 9,660,000 shares of common stock at a price to the public of $ 23.00 per share. The aggregate net proceeds from our IPO were $204.7 million after deducting underwriting discounts and commissions and other offering costs.</w:t>
      </w:r>
    </w:p>
    <w:p>
      <w:pPr>
        <w:spacing w:after="0" w:line="202"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November 2021, we completed our Follow-on Offering in which 4,750,000 shares of our common stock were sold at an offering price of $25.00 per share. The net proceeds from the Follow-on Offering were $111.1 million after deducting underwriting discounts and commissions and offering expenses.</w:t>
      </w:r>
    </w:p>
    <w:p>
      <w:pPr>
        <w:spacing w:after="0" w:line="202"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March 2022, we filed a Registration Statement on Form S-3 covering the offering of up to $300.0 million of common stock, preferred stock, debt securities, warrants and units, which was declared effective by the SEC in April 2022 (the “S-3 Registration Statement”). In March 2022, we also entered into an Open Market Sales Agreement (the "Sales Agreement") with Jefferies LLC as sales agent to sell shares of our common stock, from time to time, with aggregate gross sales proceeds of up to $100.0 million pursuant to the S-3 Registration Statement as an “at-the-market” offering under the Securities Act (the "2022 ATM Offering Program"). As of December 31, 2022, no shares of the Company's common stock were sold pursuant to the Sales Agreement. As of March 3, 2023, $90.1 million of common stock remained available for sale under the Sales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8" w:name="page119"/>
    <w:bookmarkEnd w:id="118"/>
    <w:p>
      <w:pPr>
        <w:ind w:left="640"/>
        <w:spacing w:after="0"/>
        <w:rPr>
          <w:sz w:val="20"/>
          <w:szCs w:val="20"/>
          <w:color w:val="auto"/>
        </w:rPr>
      </w:pPr>
      <w:r>
        <w:rPr>
          <w:rFonts w:ascii="Arial" w:cs="Arial" w:eastAsia="Arial" w:hAnsi="Arial"/>
          <w:sz w:val="18"/>
          <w:szCs w:val="18"/>
          <w:color w:val="auto"/>
        </w:rPr>
        <w:t>As of December 31, 2022, we had cash, cash equivalents and marketable securities of $218.5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We have experienced recurring net losses and had an accumulated deficit of $314.5 million at December 31, 2022. Our transition to profitability is dependent upon the successful development, approval and commercialization of our product candidates and those of our collaboration partners and achieving a level of revenue adequate to support our cost structure. We expect to continue to incur losses for the foreseeable future.</w:t>
      </w:r>
    </w:p>
    <w:p>
      <w:pPr>
        <w:spacing w:after="0" w:line="20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expect that our research and development and general and administrative expenses will continue to increase for the foreseeable future. Additionally, we expect our capital expenditures will increase significantly in the future for costs associated with building commercial manufacturing capacity. As a result, we will need significant additional capital to fund our operations, which we may obtain through one or more equity offerings, debt financings or other third-party funding, including potential strategic alliances and licensing or collaboration arrangements.</w:t>
      </w:r>
    </w:p>
    <w:p>
      <w:pPr>
        <w:spacing w:after="0" w:line="20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Because of the numerous risks and uncertainties associated with the development and commercialization of gene therapy product candidates, we are unable to estimate the amount of increased capital we will need to raise to support our operations and the outlays and operating expenditures necessary to complete the development of our product candidates and build additional manufacturing capacity, and we may use our available capital resources sooner than we currently expect.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03" w:lineRule="exact"/>
        <w:rPr>
          <w:sz w:val="20"/>
          <w:szCs w:val="20"/>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progress of our current and future product candidates through preclinical and clinical development;</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delays in our preclinical studies and clinical trials, whether current or planned, due to the COVID-19 pandemic, or other factors;</w:t>
      </w:r>
    </w:p>
    <w:p>
      <w:pPr>
        <w:spacing w:after="0" w:line="89" w:lineRule="exact"/>
        <w:rPr>
          <w:rFonts w:ascii="Arial" w:cs="Arial" w:eastAsia="Arial" w:hAnsi="Arial"/>
          <w:sz w:val="18"/>
          <w:szCs w:val="18"/>
          <w:color w:val="auto"/>
        </w:rPr>
      </w:pPr>
    </w:p>
    <w:p>
      <w:pPr>
        <w:ind w:left="900" w:right="20" w:hanging="256"/>
        <w:spacing w:after="0" w:line="245"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expanding our manufacturing facilities and working with our contract manufacturers to scale up the manufacturing processes for our product candidates;</w:t>
      </w:r>
    </w:p>
    <w:p>
      <w:pPr>
        <w:spacing w:after="0" w:line="89"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continuing our research and discovery activities;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continuing the development of our Therapeutic Vector Evolution platform;</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initiating and conducting additional preclinical, clinical or other studies for our product candidates;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changing or adding additional contract manufacturers or suppliers;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seeking regulatory approvals and marketing authorizations for our product candidates;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establishing sales, marketing and distribution infrastructure to commercialize any products for which we obtain approval;</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acquiring or in-licensing product candidates, intellectual property and technologies;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making milestone, royalty or other payments due under any current or future collaboration or license agreements;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obtaining, maintaining, expanding, protecting and enforcing our intellectual property portfolio;</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delays or other issues related to our operations;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meeting the requirements and demands of being a public company;</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defending against any product liability claims or other lawsuits related to our products;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19" w:name="page120"/>
    <w:bookmarkEnd w:id="119"/>
    <w:p>
      <w:pPr>
        <w:ind w:left="900" w:hanging="256"/>
        <w:spacing w:after="0" w:line="24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the COVID-19 pandemic and adverse macroeconomic conditions such as, but not limited to, higher inflation and increased interest rates, each of which may exacerbate the magnitude of the factors discussed above.</w:t>
      </w:r>
    </w:p>
    <w:p>
      <w:pPr>
        <w:spacing w:after="0" w:line="198"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We believe that our existing cash and cash equivalents will allow us to fund our planned operations for at least one year from the date of the issuance of the financial statements for the year ended December 31, 2022.</w:t>
      </w:r>
    </w:p>
    <w:p>
      <w:pPr>
        <w:spacing w:after="0" w:line="198"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sooner than currently projected, which may not be available to us on acceptable terms, or at all. Our failure to raise capital as and when needed would have a negative impact on our financial condition and our ability to pursue our business strategy. See the section titled “Risk Factors” for additional risks associated with our substantial capital requirements.</w:t>
      </w:r>
    </w:p>
    <w:p>
      <w:pPr>
        <w:spacing w:after="0" w:line="205"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We do not have any committed external sources of funds. Accordingly, we will be required to obtain further funding through public or private equity offerings, debt financings, collaborations and licensing arrangements or other sources to complete the clinical development for the product candidates for treatment of wet AMD, DME, GA, cystic fibrosis lung disease, alpha-1 antitrypsin deficiency lung disease, Fabry disease cardiomyopathy, XLRP, choroideremia or any other indication we may pursue. If we raise additional funds by issuing equity securities, our stockholders may experience dilution. Any future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Any debt financing or additional equity that we raise may contain terms that could adversely affect our common stockholders. Further, additional funds may not be available when we need them, on terms that are acceptable to us,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and the war in Ukraine.</w:t>
      </w:r>
    </w:p>
    <w:p>
      <w:pPr>
        <w:spacing w:after="0" w:line="21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If we are unable to obtain additional funding, we expect to delay, reduce or eliminate some or all of our research and development programs, product portfolio expansion or investment in internal manufacturing capabilities, which could adversely affect our business.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cash flows for the periods indicated below (in thousands):</w:t>
      </w:r>
    </w:p>
    <w:p>
      <w:pPr>
        <w:spacing w:after="0" w:line="189"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Year Ended</w:t>
      </w:r>
    </w:p>
    <w:p>
      <w:pPr>
        <w:spacing w:after="0" w:line="17"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(86,685 )</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(69,134 )</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(17,050 )</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(172,680 )</w:t>
            </w: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(100,650 )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(123,725 )</w:t>
            </w: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2" w:right="339" w:bottom="1440" w:gutter="0" w:footer="0" w:header="0"/>
        </w:sectPr>
      </w:pPr>
    </w:p>
    <w:bookmarkStart w:id="120" w:name="page121"/>
    <w:bookmarkEnd w:id="120"/>
    <w:p>
      <w:pPr>
        <w:jc w:val="both"/>
        <w:ind w:firstLine="644"/>
        <w:spacing w:after="0" w:line="236" w:lineRule="auto"/>
        <w:rPr>
          <w:sz w:val="20"/>
          <w:szCs w:val="20"/>
          <w:color w:val="auto"/>
        </w:rPr>
      </w:pPr>
      <w:r>
        <w:rPr>
          <w:rFonts w:ascii="Arial" w:cs="Arial" w:eastAsia="Arial" w:hAnsi="Arial"/>
          <w:sz w:val="18"/>
          <w:szCs w:val="18"/>
          <w:color w:val="auto"/>
        </w:rPr>
        <w:t>Net cash used in operating activities was $86.7 million for the year ended December 31, 2022. This was primarily due to the net loss of $ 107.5 million partially offset by a change of $22.1 million in noncash charges and by a net change of $1.3 million in our operating assets and liabilities. The noncash charges primarily consisted of stock-based compensation expense of $17.1 million, depreciation and amortization of $2.4 million, amortization of operating lease right-of-use assets of $1.5 million and amortization/accretion of premium/discount on marketable securities of $1.1 million. The change in operating assets and liabilities was primarily due to a $ 3.1 million decrease in deferred revenue, $1.6 million decrease in accounts payable, $0.3 million decrease in operating lease liabilities, offset by an increase of $2.5 million in accrued and other liabilities and a $1.2 million decrease in prepaid expenses and other current assets.</w:t>
      </w:r>
    </w:p>
    <w:p>
      <w:pPr>
        <w:spacing w:after="0" w:line="207"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Net cash used in operating activities was $69.1 million for the year ended December 31, 2021. This was primarily due to the net loss of $ 71.3 million partially offset by a change of $17.7 million in noncash charges and by a net change of $15.5 million in our operating assets and liabilities. The noncash charges primarily consisted of stock-based compensation expense of $13.8 million, depreciation and amortization of $1.5 million and the amortization of operating lease right-of-use assets of $1.5 million. The change in operating assets and liabilities was primarily due to a $14.7 million decrease in deferred revenue and a $4.2 million increase in prepaid expenses and other current assets primarily offset by a $2.3 million increase in accounts payable.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0"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Net cash used in investing activities was $17.0 million for the year ended December 31, 2022, consisting of purchases of marketable securities of $153.3 million, as well as purchases of property and equipment of $11.5 million, offset by the maturities of marketable securities of $147.8 million.</w:t>
      </w:r>
    </w:p>
    <w:p>
      <w:pPr>
        <w:spacing w:after="0" w:line="18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Net cash used in investing activities was $172.7 million for the year ended December 31, 2021, consisting of purchases of marketable securities of $168.6 million, as well as purchases of property and equipment of $9.1 million, offset by the maturities of marketable securities of $5.0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0"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Net cash provided by financing activities was $3.1 million for the year ended December 31, 2022, which was due to proceeds received from the issuance of common stock upon exercise of stock options of $2.7 million and from ESPP purchases of $0.8 million, offset by payment of offering costs of $0.5 million.</w:t>
      </w:r>
    </w:p>
    <w:p>
      <w:pPr>
        <w:spacing w:after="0" w:line="18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Net cash provided by financing activities was $118.1 million for the year ended December 31, 2021, primarily comprised of $114.3 million in net proceeds from offerings, as well as proceeds received from the issuance of common stock upon exercise of stock options and warrants of $3.4 million and from ESPP purchases of $0.4 million.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Our commitments include obligations under vendor contracts to provide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 These amounts are not fixed and determinable.</w:t>
      </w:r>
    </w:p>
    <w:p>
      <w:pPr>
        <w:spacing w:after="0" w:line="9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of December 31, 2022, our principal commitments consisted of obligations under our operating lease for our headquarters. Please see Note 9 to our financial statements included elsewhere in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financial statements have been prepared in accordance with generally accepted accounting principles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 and expenses during the reported periods. We evaluate these estimates and assumptions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7"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significant accounting policies are described in Note 2 to our financial statements included elsewhere in this report. We believe the following accounting policies are critical to the process of making significant judgments and estimates in the preparation of our financial statements and understanding and evaluating our reported financial results.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determine revenue recognition for arrangements within the scope of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20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Our revenue is primarily derived through our license, research, development and commercialization agreements. The terms of these types of agreements may include (i) licenses to our technology,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may require deferral of revenue recognition to a future period until performance obligations are met. The event-based milestone payments, royalties and cost reimbursements represent variable consideration, and we use the most likely amount method to estimate this variable consideration. Royalty payments are recognized when earned or as the sales occur. We record cost reimbursements as accounts receivable when right to consideration is unconditional.</w:t>
      </w:r>
    </w:p>
    <w:p>
      <w:pPr>
        <w:spacing w:after="0" w:line="20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We allocate the total transaction price to each performance obligation based on the estimated selling price and recognize revenue when, or as, the performance obligation is satisfied. We include the unconstrained amount of estimated variable consideration in the transaction price. At the end of each reporting period, we re-evaluate the estimated variable consideration included in the transaction price and any related constraint, and if necessary, adjust our estimate of the overall transaction price.</w:t>
      </w:r>
    </w:p>
    <w:p>
      <w:pPr>
        <w:spacing w:after="0" w:line="20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the expected remaining period of performance and the associated expenses incurred for the service when we have not yet been invoiced or otherwise notified of actual cost. Depending on the timing of payments to the service providers and the estimated expenses incurred, we may record net prepaid or accrued research and development expenses relating to these costs.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Examples of estimated accrued research and development expenses include fees paid to:</w:t>
      </w:r>
    </w:p>
    <w:p>
      <w:pPr>
        <w:spacing w:after="0" w:line="103" w:lineRule="exact"/>
        <w:rPr>
          <w:sz w:val="20"/>
          <w:szCs w:val="20"/>
          <w:color w:val="auto"/>
        </w:rPr>
      </w:pPr>
    </w:p>
    <w:p>
      <w:pPr>
        <w:ind w:left="900" w:hanging="25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CROs in connection with preclinical development and clinical studies; and</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CMOs and other vendors related to process development and manufacturing of materials for use in preclinical development and clinical studies.</w:t>
      </w:r>
    </w:p>
    <w:p>
      <w:pPr>
        <w:spacing w:after="0" w:line="198"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amounts actually incurred.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including stock options and stock awards. Our determination of the fair value of stock options on the date of grant utilizes the Black-Scholes option pricing model.</w:t>
      </w:r>
    </w:p>
    <w:p>
      <w:pPr>
        <w:spacing w:after="0" w:line="202"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fair value of the option granted is recognized on a straight-line basis over the period during which an optionee is required to provide services in exchange for the option award, known as the requisite service period, which usually is the vesting period. Prior to January 1, 2020, the stock-based compensation expense for nonemployees was subject to remeasurement until the related vesting conditions were met. Effective January 1, 2020, the measurement date for nonemployee awards is the date of grant without changes in the fair value of the award. We account for forfeitures as they occur for both employees and nonemployees.</w:t>
      </w:r>
    </w:p>
    <w:p>
      <w:pPr>
        <w:spacing w:after="0" w:line="20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Estimates of the fair value of equity awards as of the grant date using valuation models such as the Black-Scholes option pricing model are affected by assumptions with a number of complex variables.</w:t>
      </w:r>
    </w:p>
    <w:p>
      <w:pPr>
        <w:spacing w:after="0" w:line="19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Changes in the following assumptions can materially affect the estimate of fair value and ultimately how much stock-based compensation expense is recognized; and the resulting change in fair value, if any, is recognized in our statements of operations during the period the related services are rendered. These inputs are subjective and generally require significant analysis and judgment to develop:</w:t>
      </w:r>
    </w:p>
    <w:p>
      <w:pPr>
        <w:spacing w:after="0" w:line="76" w:lineRule="exact"/>
        <w:rPr>
          <w:sz w:val="20"/>
          <w:szCs w:val="20"/>
          <w:color w:val="auto"/>
        </w:rPr>
      </w:pPr>
    </w:p>
    <w:p>
      <w:pPr>
        <w:jc w:val="both"/>
        <w:ind w:left="900" w:hanging="256"/>
        <w:spacing w:after="0" w:line="250"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for employee options is calculated using the simplified method as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information to provide a basis for estimate. The simplified method is based on the average of the vesting tranches and the contractual life of each grant.</w:t>
      </w:r>
    </w:p>
    <w:p>
      <w:pPr>
        <w:spacing w:after="0" w:line="67" w:lineRule="exact"/>
        <w:rPr>
          <w:rFonts w:ascii="Arial" w:cs="Arial" w:eastAsia="Arial" w:hAnsi="Arial"/>
          <w:sz w:val="18"/>
          <w:szCs w:val="18"/>
          <w:color w:val="auto"/>
        </w:rPr>
      </w:pPr>
    </w:p>
    <w:p>
      <w:pPr>
        <w:jc w:val="both"/>
        <w:ind w:left="900" w:hanging="256"/>
        <w:spacing w:after="0" w:line="24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—For all stock options granted to date, the expected volatility was estimated based on a study of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industry peer companies as we did not have sufficient trading history for our common stock. We selected the peer group based on similarities in industry, stage of development, size and financial leverage with our principal business operations. For each grant, we measured historical volatility over a period equivalent to the expected term.</w:t>
      </w:r>
    </w:p>
    <w:p>
      <w:pPr>
        <w:spacing w:after="0" w:line="71" w:lineRule="exact"/>
        <w:rPr>
          <w:rFonts w:ascii="Arial" w:cs="Arial" w:eastAsia="Arial" w:hAnsi="Arial"/>
          <w:sz w:val="18"/>
          <w:szCs w:val="18"/>
          <w:color w:val="auto"/>
        </w:rPr>
      </w:pPr>
    </w:p>
    <w:p>
      <w:pPr>
        <w:ind w:left="900" w:right="20" w:hanging="256"/>
        <w:spacing w:after="0" w:line="26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yield available on U.S. Treasury zero-coupon issues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similar in duration to the expected term of the respective stock option.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23" w:name="page124"/>
    <w:bookmarkEnd w:id="123"/>
    <w:p>
      <w:pPr>
        <w:ind w:left="900" w:hanging="256"/>
        <w:spacing w:after="0" w:line="266"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not paid and do not currently anticipate paying any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Accordingly, we have estimated the dividend yield to be zero.</w:t>
      </w:r>
    </w:p>
    <w:p>
      <w:pPr>
        <w:spacing w:after="0" w:line="7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As of December 31, 2022, the unrecognized stock-based compensation expense related to stock options was $37.1 million and is expected to be recognized as expense over a weighted-average period of approximately 2.2 years. The intrinsic value of all outstanding stock options as of December 31, 2022 was approximately $48.0 million, of which approximately $20.2 million related to vested options and approximately $27.8 million related to unvested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25" w:lineRule="exact"/>
        <w:rPr>
          <w:sz w:val="20"/>
          <w:szCs w:val="20"/>
          <w:color w:val="auto"/>
        </w:rPr>
      </w:pPr>
    </w:p>
    <w:p>
      <w:pPr>
        <w:ind w:right="40" w:firstLine="644"/>
        <w:spacing w:after="0" w:line="236" w:lineRule="auto"/>
        <w:rPr>
          <w:sz w:val="20"/>
          <w:szCs w:val="20"/>
          <w:color w:val="auto"/>
        </w:rPr>
      </w:pPr>
      <w:r>
        <w:rPr>
          <w:rFonts w:ascii="Arial" w:cs="Arial" w:eastAsia="Arial" w:hAnsi="Arial"/>
          <w:sz w:val="18"/>
          <w:szCs w:val="18"/>
          <w:color w:val="auto"/>
        </w:rPr>
        <w:t>Prior to our IPO in December 2020, the estimated fair value of the common stock underlying our stock options and stock awards was determined at each grant date by our board of directors, with assistance from management and external appraisers. All options to purchase shares of our common stock were intended to be exercisable at a price per share not less than the per-share fair value of our common stock underlying those options on the date of grant. The approach to estimate the fair value of our common stock was consistent with the methods outlined in the American Institute of Certified Public Accountants’ Practice Aid, Valuation of Privately-Held-Company Equity Securities Issued as Compensation. Subsequent to our IPO, the fair value of our common stock is determined based on its closing market price as reported on the Nasdaq Global Select Market.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account for income taxes under the asset and liability method, which requires, among other things, that deferred income taxes be provided for temporary differences between the financial statement reporting and tax basis of our assets and liabilities.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We account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9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NOLs and tax credit carryforwards are subject to review and possible adjustment by the Internal Revenue Service (IRS) and may become subject to an annual limitation in the event of certain cumulative changes in the ownership interest of significant stockholders over a three-year period in excess of 50% as defined under Sections 382 and 383 in the Internal Revenue Code, which could limit the amount of tax attributes that can be utilized annually to offset future taxable income or tax liabilities.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JOBS Act</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may delay adopting new or revised accounting standards issued subsequent to the enactment of the JOBS Act until such time as those standards apply to private companies. We have elected to avail ourselves of this exemption from new or revised accounting standards and, therefore, while we are an emerging growth company, we will not be subject to new or revised accounting standards at the same time that they become applicable to other public companies that are not emerging growth companies. As a result, our financial statements may not be comparable to companies that comply with new or revised accounting pronouncements as of public company effective dates.</w:t>
      </w:r>
    </w:p>
    <w:p>
      <w:pPr>
        <w:spacing w:after="0" w:line="207"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will remain an emerging growth company until the earlier of (i) December 31, 2025, (ii) the last day of the year in which we have total annual gross revenue of at least $1.07 billion, (iii) the last day of the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99" w:lineRule="exact"/>
        <w:rPr>
          <w:sz w:val="20"/>
          <w:szCs w:val="20"/>
          <w:color w:val="auto"/>
        </w:rPr>
      </w:pPr>
    </w:p>
    <w:p>
      <w:pPr>
        <w:ind w:left="900" w:hanging="256"/>
        <w:spacing w:after="0" w:line="24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present only two years of audited financial statements for any interim period, and related management’s discussion and analysis of financial condition and results of operations;</w:t>
      </w:r>
    </w:p>
    <w:p>
      <w:pPr>
        <w:spacing w:after="0" w:line="89" w:lineRule="exact"/>
        <w:rPr>
          <w:rFonts w:ascii="Arial" w:cs="Arial" w:eastAsia="Arial" w:hAnsi="Arial"/>
          <w:sz w:val="18"/>
          <w:szCs w:val="18"/>
          <w:color w:val="auto"/>
        </w:rPr>
      </w:pPr>
    </w:p>
    <w:p>
      <w:pPr>
        <w:jc w:val="both"/>
        <w:ind w:left="900" w:right="20" w:hanging="25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of 2002 (the “Sarbanes-Oxley Act”);</w:t>
      </w:r>
    </w:p>
    <w:p>
      <w:pPr>
        <w:spacing w:after="0" w:line="93" w:lineRule="exact"/>
        <w:rPr>
          <w:rFonts w:ascii="Arial" w:cs="Arial" w:eastAsia="Arial" w:hAnsi="Arial"/>
          <w:sz w:val="18"/>
          <w:szCs w:val="18"/>
          <w:color w:val="auto"/>
        </w:rPr>
      </w:pPr>
    </w:p>
    <w:p>
      <w:pPr>
        <w:ind w:left="900" w:hanging="25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116" w:lineRule="exact"/>
        <w:rPr>
          <w:rFonts w:ascii="Arial" w:cs="Arial" w:eastAsia="Arial" w:hAnsi="Arial"/>
          <w:sz w:val="18"/>
          <w:szCs w:val="18"/>
          <w:color w:val="auto"/>
        </w:rPr>
      </w:pPr>
    </w:p>
    <w:p>
      <w:pPr>
        <w:ind w:left="900" w:hanging="25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 and</w:t>
      </w:r>
    </w:p>
    <w:p>
      <w:pPr>
        <w:spacing w:after="0" w:line="116" w:lineRule="exact"/>
        <w:rPr>
          <w:rFonts w:ascii="Arial" w:cs="Arial" w:eastAsia="Arial" w:hAnsi="Arial"/>
          <w:sz w:val="18"/>
          <w:szCs w:val="18"/>
          <w:color w:val="auto"/>
        </w:rPr>
      </w:pPr>
    </w:p>
    <w:p>
      <w:pPr>
        <w:ind w:left="900" w:hanging="256"/>
        <w:spacing w:after="0" w:line="245"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take advantage of extended transition periods to comply with new or revised accounting standards, delaying the adoption of these accounting standards until they would apply to private companies.</w:t>
      </w:r>
    </w:p>
    <w:p>
      <w:pPr>
        <w:spacing w:after="0" w:line="1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a result, the information in this report in the future may be different from what you might receive from other public reporting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financial statements included elsewhere in this report for information.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and Effects of Inflation</w:t>
      </w:r>
    </w:p>
    <w:p>
      <w:pPr>
        <w:spacing w:after="0" w:line="233"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2022, we had cash, cash equivalents and marketable securities of $218.5 million, consisting of bank deposits, interest-bearing money market funds, and marketable securities, for which the fair value would be affected by changes in the general level of U.S. interest rates. However, due to the short-term maturities of our cash equivalents and marketable securities, an immediate 10% change in interest rates would not have a material effect on the fair value of our cash equivalents or marketable securities.</w:t>
      </w:r>
    </w:p>
    <w:p>
      <w:pPr>
        <w:spacing w:after="0" w:line="97"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We do not believe that inflation or interest rate changes have had a significant impact on our results of operations for any periods presented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required by this item are set forth beginning on page F-1 of this Annual Report on Form 10-K.</w:t>
      </w:r>
    </w:p>
    <w:p>
      <w:pPr>
        <w:spacing w:after="0" w:line="122"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Index to Financial Statements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Page</w:t>
            </w:r>
          </w:p>
        </w:tc>
      </w:tr>
      <w:tr>
        <w:trPr>
          <w:trHeight w:val="182"/>
        </w:trPr>
        <w:tc>
          <w:tcPr>
            <w:tcW w:w="59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Report of Independent Registered Public Accounting Firm (PCAOB ID 238)</w:t>
            </w:r>
          </w:p>
        </w:tc>
        <w:tc>
          <w:tcPr>
            <w:tcW w:w="4120" w:type="dxa"/>
            <w:vAlign w:val="bottom"/>
          </w:tcPr>
          <w:p>
            <w:pPr>
              <w:spacing w:after="0"/>
              <w:rPr>
                <w:sz w:val="15"/>
                <w:szCs w:val="15"/>
                <w:color w:val="auto"/>
              </w:rPr>
            </w:pPr>
          </w:p>
        </w:tc>
        <w:tc>
          <w:tcPr>
            <w:tcW w:w="1120" w:type="dxa"/>
            <w:vAlign w:val="bottom"/>
          </w:tcPr>
          <w:p>
            <w:pPr>
              <w:ind w:left="840"/>
              <w:spacing w:after="0" w:line="182" w:lineRule="exact"/>
              <w:rPr>
                <w:sz w:val="20"/>
                <w:szCs w:val="20"/>
                <w:color w:val="auto"/>
              </w:rPr>
            </w:pPr>
            <w:r>
              <w:rPr>
                <w:rFonts w:ascii="Arial" w:cs="Arial" w:eastAsia="Arial" w:hAnsi="Arial"/>
                <w:sz w:val="18"/>
                <w:szCs w:val="18"/>
                <w:color w:val="auto"/>
                <w:w w:val="96"/>
              </w:rPr>
              <w:t>F-1</w:t>
            </w:r>
          </w:p>
        </w:tc>
      </w:tr>
      <w:tr>
        <w:trPr>
          <w:trHeight w:val="209"/>
        </w:trPr>
        <w:tc>
          <w:tcPr>
            <w:tcW w:w="10100" w:type="dxa"/>
            <w:vAlign w:val="bottom"/>
            <w:gridSpan w:val="11"/>
          </w:tcPr>
          <w:p>
            <w:pPr>
              <w:spacing w:after="0"/>
              <w:rPr>
                <w:sz w:val="20"/>
                <w:szCs w:val="20"/>
                <w:color w:val="auto"/>
              </w:rPr>
            </w:pPr>
            <w:r>
              <w:rPr>
                <w:rFonts w:ascii="Arial" w:cs="Arial" w:eastAsia="Arial" w:hAnsi="Arial"/>
                <w:sz w:val="18"/>
                <w:szCs w:val="18"/>
                <w:color w:val="0000FF"/>
              </w:rPr>
              <w:t>Balance Sheets</w:t>
            </w: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F-2</w:t>
            </w:r>
          </w:p>
        </w:tc>
      </w:tr>
      <w:tr>
        <w:trPr>
          <w:trHeight w:val="20"/>
        </w:trPr>
        <w:tc>
          <w:tcPr>
            <w:tcW w:w="12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2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8"/>
              </w:rPr>
              <w:t>Statements of Operations</w:t>
            </w:r>
          </w:p>
        </w:tc>
        <w:tc>
          <w:tcPr>
            <w:tcW w:w="20" w:type="dxa"/>
            <w:vAlign w:val="bottom"/>
            <w:tcBorders>
              <w:bottom w:val="single" w:sz="8" w:color="0000EE"/>
            </w:tcBorders>
          </w:tcPr>
          <w:p>
            <w:pPr>
              <w:spacing w:after="0"/>
              <w:rPr>
                <w:sz w:val="18"/>
                <w:szCs w:val="18"/>
                <w:color w:val="auto"/>
              </w:rPr>
            </w:pPr>
          </w:p>
        </w:tc>
        <w:tc>
          <w:tcPr>
            <w:tcW w:w="8040" w:type="dxa"/>
            <w:vAlign w:val="bottom"/>
            <w:gridSpan w:val="8"/>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F-3</w:t>
            </w:r>
          </w:p>
        </w:tc>
      </w:tr>
      <w:tr>
        <w:trPr>
          <w:trHeight w:val="209"/>
        </w:trPr>
        <w:tc>
          <w:tcPr>
            <w:tcW w:w="10100" w:type="dxa"/>
            <w:vAlign w:val="bottom"/>
            <w:gridSpan w:val="11"/>
          </w:tcPr>
          <w:p>
            <w:pPr>
              <w:spacing w:after="0"/>
              <w:rPr>
                <w:sz w:val="20"/>
                <w:szCs w:val="20"/>
                <w:color w:val="auto"/>
              </w:rPr>
            </w:pPr>
            <w:r>
              <w:rPr>
                <w:rFonts w:ascii="Arial" w:cs="Arial" w:eastAsia="Arial" w:hAnsi="Arial"/>
                <w:sz w:val="18"/>
                <w:szCs w:val="18"/>
                <w:color w:val="0000FF"/>
              </w:rPr>
              <w:t>Statements of Comprehensive Loss</w:t>
            </w: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F-4</w:t>
            </w:r>
          </w:p>
        </w:tc>
      </w:tr>
      <w:tr>
        <w:trPr>
          <w:trHeight w:val="209"/>
        </w:trPr>
        <w:tc>
          <w:tcPr>
            <w:tcW w:w="284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Statements of Stockholders' Equity</w:t>
            </w:r>
          </w:p>
        </w:tc>
        <w:tc>
          <w:tcPr>
            <w:tcW w:w="7260" w:type="dxa"/>
            <w:vAlign w:val="bottom"/>
            <w:gridSpan w:val="2"/>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F-5</w:t>
            </w:r>
          </w:p>
        </w:tc>
      </w:tr>
      <w:tr>
        <w:trPr>
          <w:trHeight w:val="209"/>
        </w:trPr>
        <w:tc>
          <w:tcPr>
            <w:tcW w:w="21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660" w:type="dxa"/>
            <w:vAlign w:val="bottom"/>
            <w:tcBorders>
              <w:top w:val="single" w:sz="8" w:color="0000FF"/>
            </w:tcBorders>
            <w:gridSpan w:val="3"/>
          </w:tcPr>
          <w:p>
            <w:pPr>
              <w:spacing w:after="0"/>
              <w:rPr>
                <w:sz w:val="18"/>
                <w:szCs w:val="18"/>
                <w:color w:val="auto"/>
              </w:rPr>
            </w:pPr>
          </w:p>
        </w:tc>
        <w:tc>
          <w:tcPr>
            <w:tcW w:w="7320" w:type="dxa"/>
            <w:vAlign w:val="bottom"/>
            <w:gridSpan w:val="3"/>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F-6</w:t>
            </w:r>
          </w:p>
        </w:tc>
      </w:tr>
      <w:tr>
        <w:trPr>
          <w:trHeight w:val="209"/>
        </w:trPr>
        <w:tc>
          <w:tcPr>
            <w:tcW w:w="2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Notes to Financial Statements</w:t>
            </w:r>
          </w:p>
        </w:tc>
        <w:tc>
          <w:tcPr>
            <w:tcW w:w="20" w:type="dxa"/>
            <w:vAlign w:val="bottom"/>
            <w:tcBorders>
              <w:bottom w:val="single" w:sz="8" w:color="0000EE"/>
            </w:tcBorders>
          </w:tcPr>
          <w:p>
            <w:pPr>
              <w:spacing w:after="0"/>
              <w:rPr>
                <w:sz w:val="18"/>
                <w:szCs w:val="18"/>
                <w:color w:val="auto"/>
              </w:rPr>
            </w:pPr>
          </w:p>
        </w:tc>
        <w:tc>
          <w:tcPr>
            <w:tcW w:w="7680" w:type="dxa"/>
            <w:vAlign w:val="bottom"/>
            <w:gridSpan w:val="4"/>
          </w:tcPr>
          <w:p>
            <w:pPr>
              <w:spacing w:after="0"/>
              <w:rPr>
                <w:sz w:val="18"/>
                <w:szCs w:val="18"/>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w w:val="96"/>
              </w:rPr>
              <w:t>F-7</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21"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and accounting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98"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and accounting officer, evaluated the effectiveness of our disclosure controls and procedures at the end of the period covered by this Annual Report on Form 10-K. Based upon such evaluation, our principal executive officer and principal financial and accounting officer have concluded that our disclosure controls and procedures were effective at the reasonable assurance level as of such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26" w:name="page127"/>
    <w:bookmarkEnd w:id="126"/>
    <w:p>
      <w:pPr>
        <w:jc w:val="both"/>
        <w:ind w:firstLine="644"/>
        <w:spacing w:after="0" w:line="238" w:lineRule="auto"/>
        <w:rPr>
          <w:sz w:val="20"/>
          <w:szCs w:val="20"/>
          <w:color w:val="auto"/>
        </w:rPr>
      </w:pPr>
      <w:r>
        <w:rPr>
          <w:rFonts w:ascii="Arial" w:cs="Arial" w:eastAsia="Arial" w:hAnsi="Arial"/>
          <w:sz w:val="18"/>
          <w:szCs w:val="18"/>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2022.</w:t>
      </w:r>
    </w:p>
    <w:p>
      <w:pPr>
        <w:spacing w:after="0" w:line="20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This Annual Report on Form-10K does not include an attestation report of our independent registered public accounting firm on our internal control over financial reporting due to an exemption established by the JOBS Act for “emerging growth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21"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27" w:name="page128"/>
    <w:bookmarkEnd w:id="127"/>
    <w:p>
      <w:pPr>
        <w:ind w:left="526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within 120 days after December 31, 2022 (the “Proxy Statement”) and is incorporated in this Annual Report on Form 10-K by reference.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information required by this item will be contained in the Proxy Statement and is incorporated in this Annual Report on Form 10-K by reference.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5" w:lineRule="exact"/>
        <w:rPr>
          <w:sz w:val="20"/>
          <w:szCs w:val="20"/>
          <w:color w:val="auto"/>
        </w:rPr>
      </w:pPr>
    </w:p>
    <w:p>
      <w:pPr>
        <w:ind w:left="1020" w:hanging="368"/>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financial statements schedules and exhibits filed as part of this Annual Report on Form 10-K are as follows:</w:t>
      </w:r>
    </w:p>
    <w:p>
      <w:pPr>
        <w:spacing w:after="0" w:line="103" w:lineRule="exact"/>
        <w:rPr>
          <w:rFonts w:ascii="Arial" w:cs="Arial" w:eastAsia="Arial" w:hAnsi="Arial"/>
          <w:sz w:val="18"/>
          <w:szCs w:val="18"/>
          <w:color w:val="auto"/>
        </w:rPr>
      </w:pPr>
    </w:p>
    <w:p>
      <w:pPr>
        <w:ind w:left="1260" w:hanging="369"/>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Reference is made to the financial statements included in Item 8 of Part II hereof.</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Financial Statement Schedules</w:t>
      </w:r>
    </w:p>
    <w:p>
      <w:pPr>
        <w:spacing w:after="0" w:line="103" w:lineRule="exact"/>
        <w:rPr>
          <w:sz w:val="20"/>
          <w:szCs w:val="20"/>
          <w:color w:val="auto"/>
        </w:rPr>
      </w:pPr>
    </w:p>
    <w:p>
      <w:pPr>
        <w:ind w:left="900"/>
        <w:spacing w:after="0" w:line="245" w:lineRule="auto"/>
        <w:rPr>
          <w:sz w:val="20"/>
          <w:szCs w:val="20"/>
          <w:color w:val="auto"/>
        </w:rPr>
      </w:pPr>
      <w:r>
        <w:rPr>
          <w:rFonts w:ascii="Arial" w:cs="Arial" w:eastAsia="Arial" w:hAnsi="Arial"/>
          <w:sz w:val="18"/>
          <w:szCs w:val="18"/>
          <w:color w:val="auto"/>
        </w:rPr>
        <w:t>All financial statement schedules are omitted because they are not required or the required information is included in the financial statements or notes thereto.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  Exhibits</w:t>
      </w:r>
    </w:p>
    <w:p>
      <w:pPr>
        <w:spacing w:after="0" w:line="103" w:lineRule="exact"/>
        <w:rPr>
          <w:sz w:val="20"/>
          <w:szCs w:val="20"/>
          <w:color w:val="auto"/>
        </w:rPr>
      </w:pPr>
    </w:p>
    <w:p>
      <w:pPr>
        <w:ind w:left="900"/>
        <w:spacing w:after="0" w:line="245" w:lineRule="auto"/>
        <w:rPr>
          <w:sz w:val="20"/>
          <w:szCs w:val="20"/>
          <w:color w:val="auto"/>
        </w:rPr>
      </w:pPr>
      <w:r>
        <w:rPr>
          <w:rFonts w:ascii="Arial" w:cs="Arial" w:eastAsia="Arial" w:hAnsi="Arial"/>
          <w:sz w:val="18"/>
          <w:szCs w:val="18"/>
          <w:color w:val="auto"/>
        </w:rPr>
        <w:t>The exhibits required to be filed as part of this report are listed in the Exhibit List attached hereto and are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0" w:type="dxa"/>
            <w:vAlign w:val="bottom"/>
            <w:gridSpan w:val="18"/>
          </w:tcPr>
          <w:p>
            <w:pPr>
              <w:jc w:val="center"/>
              <w:ind w:right="880"/>
              <w:spacing w:after="0"/>
              <w:rPr>
                <w:sz w:val="20"/>
                <w:szCs w:val="20"/>
                <w:color w:val="auto"/>
              </w:rPr>
            </w:pPr>
            <w:r>
              <w:rPr>
                <w:rFonts w:ascii="Arial" w:cs="Arial" w:eastAsia="Arial" w:hAnsi="Arial"/>
                <w:sz w:val="18"/>
                <w:szCs w:val="18"/>
                <w:b w:val="1"/>
                <w:bCs w:val="1"/>
                <w:color w:val="auto"/>
                <w:w w:val="99"/>
              </w:rPr>
              <w:t>Exhibit Index</w:t>
            </w:r>
          </w:p>
        </w:tc>
      </w:tr>
      <w:tr>
        <w:trPr>
          <w:trHeight w:val="574"/>
        </w:trPr>
        <w:tc>
          <w:tcPr>
            <w:tcW w:w="108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28"/>
          </w:tcPr>
          <w:p>
            <w:pPr>
              <w:ind w:left="40"/>
              <w:spacing w:after="0"/>
              <w:rPr>
                <w:sz w:val="20"/>
                <w:szCs w:val="20"/>
                <w:color w:val="auto"/>
              </w:rPr>
            </w:pPr>
            <w:r>
              <w:rPr>
                <w:rFonts w:ascii="Arial" w:cs="Arial" w:eastAsia="Arial" w:hAnsi="Arial"/>
                <w:sz w:val="14"/>
                <w:szCs w:val="14"/>
                <w:b w:val="1"/>
                <w:bCs w:val="1"/>
                <w:color w:val="auto"/>
              </w:rPr>
              <w:t>Exhibit Description</w:t>
            </w:r>
          </w:p>
        </w:tc>
      </w:tr>
      <w:tr>
        <w:trPr>
          <w:trHeight w:val="304"/>
        </w:trPr>
        <w:tc>
          <w:tcPr>
            <w:tcW w:w="1080" w:type="dxa"/>
            <w:vAlign w:val="bottom"/>
          </w:tcPr>
          <w:p>
            <w:pPr>
              <w:ind w:left="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37"/>
          </w:tcPr>
          <w:p>
            <w:pPr>
              <w:spacing w:after="0"/>
              <w:rPr>
                <w:rFonts w:ascii="Arial" w:cs="Arial" w:eastAsia="Arial" w:hAnsi="Arial"/>
                <w:sz w:val="14"/>
                <w:szCs w:val="14"/>
                <w:color w:val="0000FF"/>
              </w:rPr>
            </w:pPr>
            <w:hyperlink r:id="rId160">
              <w:r>
                <w:rPr>
                  <w:rFonts w:ascii="Arial" w:cs="Arial" w:eastAsia="Arial" w:hAnsi="Arial"/>
                  <w:sz w:val="14"/>
                  <w:szCs w:val="14"/>
                  <w:color w:val="0000FF"/>
                </w:rPr>
                <w:t>Amended and Restated Certificate of Incorporation, as currently in effect.</w:t>
              </w:r>
            </w:hyperlink>
          </w:p>
        </w:tc>
      </w:tr>
      <w:tr>
        <w:trPr>
          <w:trHeight w:val="317"/>
        </w:trPr>
        <w:tc>
          <w:tcPr>
            <w:tcW w:w="1080" w:type="dxa"/>
            <w:vAlign w:val="bottom"/>
          </w:tcPr>
          <w:p>
            <w:pPr>
              <w:ind w:left="6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0" w:type="dxa"/>
            <w:vAlign w:val="bottom"/>
            <w:tcBorders>
              <w:top w:val="single" w:sz="8" w:color="0000FF"/>
              <w:bottom w:val="single" w:sz="8" w:color="0000FF"/>
            </w:tcBorders>
            <w:gridSpan w:val="17"/>
          </w:tcPr>
          <w:p>
            <w:pPr>
              <w:spacing w:after="0"/>
              <w:rPr>
                <w:rFonts w:ascii="Arial" w:cs="Arial" w:eastAsia="Arial" w:hAnsi="Arial"/>
                <w:sz w:val="14"/>
                <w:szCs w:val="14"/>
                <w:color w:val="0000FF"/>
              </w:rPr>
            </w:pPr>
            <w:hyperlink r:id="rId161">
              <w:r>
                <w:rPr>
                  <w:rFonts w:ascii="Arial" w:cs="Arial" w:eastAsia="Arial" w:hAnsi="Arial"/>
                  <w:sz w:val="14"/>
                  <w:szCs w:val="14"/>
                  <w:color w:val="0000FF"/>
                </w:rPr>
                <w:t>Amended and Restated Bylaws, as currently in effect.</w:t>
              </w:r>
            </w:hyperlink>
          </w:p>
        </w:tc>
        <w:tc>
          <w:tcPr>
            <w:tcW w:w="1220" w:type="dxa"/>
            <w:vAlign w:val="bottom"/>
            <w:tcBorders>
              <w:top w:val="single" w:sz="8" w:color="0000FF"/>
            </w:tcBorders>
            <w:gridSpan w:val="7"/>
          </w:tcPr>
          <w:p>
            <w:pPr>
              <w:spacing w:after="0"/>
              <w:rPr>
                <w:sz w:val="24"/>
                <w:szCs w:val="24"/>
                <w:color w:val="auto"/>
              </w:rPr>
            </w:pPr>
          </w:p>
        </w:tc>
        <w:tc>
          <w:tcPr>
            <w:tcW w:w="1320" w:type="dxa"/>
            <w:vAlign w:val="bottom"/>
            <w:gridSpan w:val="13"/>
          </w:tcPr>
          <w:p>
            <w:pPr>
              <w:spacing w:after="0"/>
              <w:rPr>
                <w:sz w:val="24"/>
                <w:szCs w:val="24"/>
                <w:color w:val="auto"/>
              </w:rPr>
            </w:pPr>
          </w:p>
        </w:tc>
      </w:tr>
      <w:tr>
        <w:trPr>
          <w:trHeight w:val="317"/>
        </w:trPr>
        <w:tc>
          <w:tcPr>
            <w:tcW w:w="1080" w:type="dxa"/>
            <w:vAlign w:val="bottom"/>
          </w:tcPr>
          <w:p>
            <w:pPr>
              <w:ind w:left="6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Description of Securities of the Registrant.</w:t>
            </w:r>
          </w:p>
        </w:tc>
        <w:tc>
          <w:tcPr>
            <w:tcW w:w="3260" w:type="dxa"/>
            <w:vAlign w:val="bottom"/>
            <w:gridSpan w:val="25"/>
          </w:tcPr>
          <w:p>
            <w:pPr>
              <w:spacing w:after="0"/>
              <w:rPr>
                <w:sz w:val="24"/>
                <w:szCs w:val="24"/>
                <w:color w:val="auto"/>
              </w:rPr>
            </w:pPr>
          </w:p>
        </w:tc>
      </w:tr>
      <w:tr>
        <w:trPr>
          <w:trHeight w:val="317"/>
        </w:trPr>
        <w:tc>
          <w:tcPr>
            <w:tcW w:w="1080" w:type="dxa"/>
            <w:vAlign w:val="bottom"/>
          </w:tcPr>
          <w:p>
            <w:pPr>
              <w:ind w:left="6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8"/>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Form of Common Stock Certificate.</w:t>
              </w:r>
            </w:hyperlink>
          </w:p>
        </w:tc>
        <w:tc>
          <w:tcPr>
            <w:tcW w:w="20" w:type="dxa"/>
            <w:vAlign w:val="bottom"/>
            <w:tcBorders>
              <w:bottom w:val="single" w:sz="8" w:color="0000EE"/>
            </w:tcBorders>
          </w:tcPr>
          <w:p>
            <w:pPr>
              <w:spacing w:after="0"/>
              <w:rPr>
                <w:sz w:val="24"/>
                <w:szCs w:val="24"/>
                <w:color w:val="auto"/>
              </w:rPr>
            </w:pPr>
          </w:p>
        </w:tc>
        <w:tc>
          <w:tcPr>
            <w:tcW w:w="3680" w:type="dxa"/>
            <w:vAlign w:val="bottom"/>
            <w:gridSpan w:val="28"/>
          </w:tcPr>
          <w:p>
            <w:pPr>
              <w:spacing w:after="0"/>
              <w:rPr>
                <w:sz w:val="24"/>
                <w:szCs w:val="24"/>
                <w:color w:val="auto"/>
              </w:rPr>
            </w:pPr>
          </w:p>
        </w:tc>
      </w:tr>
      <w:tr>
        <w:trPr>
          <w:trHeight w:val="317"/>
        </w:trPr>
        <w:tc>
          <w:tcPr>
            <w:tcW w:w="1080" w:type="dxa"/>
            <w:vAlign w:val="bottom"/>
          </w:tcPr>
          <w:p>
            <w:pPr>
              <w:ind w:left="6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tcBorders>
              <w:bottom w:val="single" w:sz="8" w:color="0000EE"/>
            </w:tcBorders>
            <w:gridSpan w:val="35"/>
          </w:tcPr>
          <w:p>
            <w:pPr>
              <w:spacing w:after="0"/>
              <w:rPr>
                <w:rFonts w:ascii="Arial" w:cs="Arial" w:eastAsia="Arial" w:hAnsi="Arial"/>
                <w:sz w:val="14"/>
                <w:szCs w:val="14"/>
                <w:color w:val="0000EE"/>
              </w:rPr>
            </w:pPr>
            <w:hyperlink r:id="rId163">
              <w:r>
                <w:rPr>
                  <w:rFonts w:ascii="Arial" w:cs="Arial" w:eastAsia="Arial" w:hAnsi="Arial"/>
                  <w:sz w:val="14"/>
                  <w:szCs w:val="14"/>
                  <w:color w:val="0000EE"/>
                </w:rPr>
                <w:t>Amended and Restated Investors’ Rights Agreement, dated as of April 29, 2020, among the</w:t>
              </w:r>
            </w:hyperlink>
          </w:p>
        </w:tc>
        <w:tc>
          <w:tcPr>
            <w:tcW w:w="80" w:type="dxa"/>
            <w:vAlign w:val="bottom"/>
            <w:gridSpan w:val="2"/>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7"/>
          </w:tcPr>
          <w:p>
            <w:pPr>
              <w:spacing w:after="0" w:line="142" w:lineRule="exact"/>
              <w:rPr>
                <w:rFonts w:ascii="Arial" w:cs="Arial" w:eastAsia="Arial" w:hAnsi="Arial"/>
                <w:sz w:val="14"/>
                <w:szCs w:val="14"/>
                <w:color w:val="0000EE"/>
              </w:rPr>
            </w:pPr>
            <w:hyperlink r:id="rId163">
              <w:r>
                <w:rPr>
                  <w:rFonts w:ascii="Arial" w:cs="Arial" w:eastAsia="Arial" w:hAnsi="Arial"/>
                  <w:sz w:val="14"/>
                  <w:szCs w:val="14"/>
                  <w:color w:val="0000EE"/>
                </w:rPr>
                <w:t>Registrant and the investors party thereto.</w:t>
              </w:r>
            </w:hyperlink>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4"/>
                <w:szCs w:val="14"/>
                <w:color w:val="0000EE"/>
              </w:rPr>
            </w:pPr>
            <w:hyperlink r:id="rId164">
              <w:r>
                <w:rPr>
                  <w:rFonts w:ascii="Arial" w:cs="Arial" w:eastAsia="Arial" w:hAnsi="Arial"/>
                  <w:sz w:val="14"/>
                  <w:szCs w:val="14"/>
                  <w:color w:val="0000EE"/>
                </w:rPr>
                <w:t>2015 Equity Incentive Plan.</w:t>
              </w:r>
            </w:hyperlink>
          </w:p>
        </w:tc>
        <w:tc>
          <w:tcPr>
            <w:tcW w:w="880" w:type="dxa"/>
            <w:vAlign w:val="bottom"/>
            <w:tcBorders>
              <w:top w:val="single" w:sz="8" w:color="0000EE"/>
            </w:tcBorders>
            <w:gridSpan w:val="6"/>
          </w:tcPr>
          <w:p>
            <w:pPr>
              <w:spacing w:after="0"/>
              <w:rPr>
                <w:sz w:val="24"/>
                <w:szCs w:val="24"/>
                <w:color w:val="auto"/>
              </w:rPr>
            </w:pPr>
          </w:p>
        </w:tc>
        <w:tc>
          <w:tcPr>
            <w:tcW w:w="3280" w:type="dxa"/>
            <w:vAlign w:val="bottom"/>
            <w:gridSpan w:val="26"/>
          </w:tcPr>
          <w:p>
            <w:pPr>
              <w:spacing w:after="0"/>
              <w:rPr>
                <w:sz w:val="24"/>
                <w:szCs w:val="24"/>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EE"/>
            </w:tcBorders>
            <w:gridSpan w:val="23"/>
          </w:tcPr>
          <w:p>
            <w:pPr>
              <w:spacing w:after="0"/>
              <w:rPr>
                <w:rFonts w:ascii="Arial" w:cs="Arial" w:eastAsia="Arial" w:hAnsi="Arial"/>
                <w:sz w:val="14"/>
                <w:szCs w:val="14"/>
                <w:color w:val="0000EE"/>
              </w:rPr>
            </w:pPr>
            <w:hyperlink r:id="rId165">
              <w:r>
                <w:rPr>
                  <w:rFonts w:ascii="Arial" w:cs="Arial" w:eastAsia="Arial" w:hAnsi="Arial"/>
                  <w:sz w:val="14"/>
                  <w:szCs w:val="14"/>
                  <w:color w:val="0000EE"/>
                </w:rPr>
                <w:t>Form of Stock Option Agreement under 2015 Equity Incentive Plan.</w:t>
              </w:r>
            </w:hyperlink>
          </w:p>
        </w:tc>
        <w:tc>
          <w:tcPr>
            <w:tcW w:w="1620" w:type="dxa"/>
            <w:vAlign w:val="bottom"/>
            <w:gridSpan w:val="14"/>
          </w:tcPr>
          <w:p>
            <w:pPr>
              <w:spacing w:after="0"/>
              <w:rPr>
                <w:sz w:val="24"/>
                <w:szCs w:val="24"/>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10.2(a)#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bottom w:val="single" w:sz="8" w:color="0000FF"/>
            </w:tcBorders>
            <w:gridSpan w:val="3"/>
          </w:tcPr>
          <w:p>
            <w:pPr>
              <w:spacing w:after="0"/>
              <w:rPr>
                <w:rFonts w:ascii="Arial" w:cs="Arial" w:eastAsia="Arial" w:hAnsi="Arial"/>
                <w:sz w:val="14"/>
                <w:szCs w:val="14"/>
                <w:color w:val="0000FF"/>
              </w:rPr>
            </w:pPr>
            <w:hyperlink r:id="rId166">
              <w:r>
                <w:rPr>
                  <w:rFonts w:ascii="Arial" w:cs="Arial" w:eastAsia="Arial" w:hAnsi="Arial"/>
                  <w:sz w:val="14"/>
                  <w:szCs w:val="14"/>
                  <w:color w:val="0000FF"/>
                </w:rPr>
                <w:t>2020 Incentive Award Plan.</w:t>
              </w:r>
            </w:hyperlink>
          </w:p>
        </w:tc>
        <w:tc>
          <w:tcPr>
            <w:tcW w:w="20" w:type="dxa"/>
            <w:vAlign w:val="bottom"/>
            <w:tcBorders>
              <w:bottom w:val="single" w:sz="8" w:color="0000EE"/>
            </w:tcBorders>
          </w:tcPr>
          <w:p>
            <w:pPr>
              <w:spacing w:after="0"/>
              <w:rPr>
                <w:sz w:val="24"/>
                <w:szCs w:val="24"/>
                <w:color w:val="auto"/>
              </w:rPr>
            </w:pPr>
          </w:p>
        </w:tc>
        <w:tc>
          <w:tcPr>
            <w:tcW w:w="4180" w:type="dxa"/>
            <w:vAlign w:val="bottom"/>
            <w:gridSpan w:val="33"/>
          </w:tcPr>
          <w:p>
            <w:pPr>
              <w:spacing w:after="0"/>
              <w:rPr>
                <w:sz w:val="24"/>
                <w:szCs w:val="24"/>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10.2(b)#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EE"/>
            </w:tcBorders>
            <w:gridSpan w:val="32"/>
          </w:tcPr>
          <w:p>
            <w:pPr>
              <w:spacing w:after="0"/>
              <w:rPr>
                <w:rFonts w:ascii="Arial" w:cs="Arial" w:eastAsia="Arial" w:hAnsi="Arial"/>
                <w:sz w:val="14"/>
                <w:szCs w:val="14"/>
                <w:color w:val="0000EE"/>
              </w:rPr>
            </w:pPr>
            <w:hyperlink r:id="rId167">
              <w:r>
                <w:rPr>
                  <w:rFonts w:ascii="Arial" w:cs="Arial" w:eastAsia="Arial" w:hAnsi="Arial"/>
                  <w:sz w:val="14"/>
                  <w:szCs w:val="14"/>
                  <w:color w:val="0000EE"/>
                </w:rPr>
                <w:t>Form of Stock Option Grant Notice and Stock Option Agreement under the 2020 Incentive</w:t>
              </w:r>
            </w:hyperlink>
          </w:p>
        </w:tc>
        <w:tc>
          <w:tcPr>
            <w:tcW w:w="180" w:type="dxa"/>
            <w:vAlign w:val="bottom"/>
            <w:gridSpan w:val="5"/>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7"/>
          </w:tcPr>
          <w:p>
            <w:pPr>
              <w:spacing w:after="0" w:line="142" w:lineRule="exact"/>
              <w:rPr>
                <w:rFonts w:ascii="Arial" w:cs="Arial" w:eastAsia="Arial" w:hAnsi="Arial"/>
                <w:sz w:val="14"/>
                <w:szCs w:val="14"/>
                <w:color w:val="0000EE"/>
              </w:rPr>
            </w:pPr>
            <w:hyperlink r:id="rId167">
              <w:r>
                <w:rPr>
                  <w:rFonts w:ascii="Arial" w:cs="Arial" w:eastAsia="Arial" w:hAnsi="Arial"/>
                  <w:sz w:val="14"/>
                  <w:szCs w:val="14"/>
                  <w:color w:val="0000EE"/>
                </w:rPr>
                <w:t>Award Plan.</w:t>
              </w:r>
            </w:hyperlink>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10.2(c)#</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tcBorders>
              <w:bottom w:val="single" w:sz="8" w:color="0000EE"/>
            </w:tcBorders>
            <w:gridSpan w:val="35"/>
          </w:tcPr>
          <w:p>
            <w:pPr>
              <w:spacing w:after="0"/>
              <w:rPr>
                <w:rFonts w:ascii="Arial" w:cs="Arial" w:eastAsia="Arial" w:hAnsi="Arial"/>
                <w:sz w:val="14"/>
                <w:szCs w:val="14"/>
                <w:color w:val="0000EE"/>
              </w:rPr>
            </w:pPr>
            <w:hyperlink r:id="rId168">
              <w:r>
                <w:rPr>
                  <w:rFonts w:ascii="Arial" w:cs="Arial" w:eastAsia="Arial" w:hAnsi="Arial"/>
                  <w:sz w:val="14"/>
                  <w:szCs w:val="14"/>
                  <w:color w:val="0000EE"/>
                </w:rPr>
                <w:t>Form of Restricted Stock Award Grant Notice and Restricted Stock Award Agreement under</w:t>
              </w:r>
            </w:hyperlink>
          </w:p>
        </w:tc>
        <w:tc>
          <w:tcPr>
            <w:tcW w:w="80" w:type="dxa"/>
            <w:vAlign w:val="bottom"/>
            <w:gridSpan w:val="2"/>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Borders>
              <w:bottom w:val="single" w:sz="8" w:color="0000EE"/>
            </w:tcBorders>
            <w:gridSpan w:val="7"/>
          </w:tcPr>
          <w:p>
            <w:pPr>
              <w:spacing w:after="0" w:line="142" w:lineRule="exact"/>
              <w:rPr>
                <w:rFonts w:ascii="Arial" w:cs="Arial" w:eastAsia="Arial" w:hAnsi="Arial"/>
                <w:sz w:val="14"/>
                <w:szCs w:val="14"/>
                <w:color w:val="0000EE"/>
              </w:rPr>
            </w:pPr>
            <w:hyperlink r:id="rId168">
              <w:r>
                <w:rPr>
                  <w:rFonts w:ascii="Arial" w:cs="Arial" w:eastAsia="Arial" w:hAnsi="Arial"/>
                  <w:sz w:val="14"/>
                  <w:szCs w:val="14"/>
                  <w:color w:val="0000EE"/>
                </w:rPr>
                <w:t>the 2020 Incentive Award Plan.</w:t>
              </w:r>
            </w:hyperlink>
          </w:p>
        </w:tc>
        <w:tc>
          <w:tcPr>
            <w:tcW w:w="3960" w:type="dxa"/>
            <w:vAlign w:val="bottom"/>
            <w:gridSpan w:val="30"/>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10.2(d)#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EE"/>
            </w:tcBorders>
            <w:gridSpan w:val="28"/>
          </w:tcPr>
          <w:p>
            <w:pPr>
              <w:spacing w:after="0"/>
              <w:rPr>
                <w:rFonts w:ascii="Arial" w:cs="Arial" w:eastAsia="Arial" w:hAnsi="Arial"/>
                <w:sz w:val="14"/>
                <w:szCs w:val="14"/>
                <w:color w:val="0000EE"/>
              </w:rPr>
            </w:pPr>
            <w:hyperlink r:id="rId169">
              <w:r>
                <w:rPr>
                  <w:rFonts w:ascii="Arial" w:cs="Arial" w:eastAsia="Arial" w:hAnsi="Arial"/>
                  <w:sz w:val="14"/>
                  <w:szCs w:val="14"/>
                  <w:color w:val="0000EE"/>
                </w:rPr>
                <w:t>Form of Restricted Stock Unit Award Grant Notice and Restricted Stock Unit Award</w:t>
              </w:r>
            </w:hyperlink>
          </w:p>
        </w:tc>
        <w:tc>
          <w:tcPr>
            <w:tcW w:w="640" w:type="dxa"/>
            <w:vAlign w:val="bottom"/>
            <w:gridSpan w:val="9"/>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7"/>
          </w:tcPr>
          <w:p>
            <w:pPr>
              <w:spacing w:after="0" w:line="142" w:lineRule="exact"/>
              <w:rPr>
                <w:rFonts w:ascii="Arial" w:cs="Arial" w:eastAsia="Arial" w:hAnsi="Arial"/>
                <w:sz w:val="14"/>
                <w:szCs w:val="14"/>
                <w:color w:val="0000EE"/>
              </w:rPr>
            </w:pPr>
            <w:hyperlink r:id="rId169">
              <w:r>
                <w:rPr>
                  <w:rFonts w:ascii="Arial" w:cs="Arial" w:eastAsia="Arial" w:hAnsi="Arial"/>
                  <w:sz w:val="14"/>
                  <w:szCs w:val="14"/>
                  <w:color w:val="0000EE"/>
                </w:rPr>
                <w:t>Agreement under the 2020 Incentive Award Plan.</w:t>
              </w:r>
            </w:hyperlink>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top w:val="single" w:sz="8" w:color="0000EE"/>
            </w:tcBorders>
            <w:gridSpan w:val="14"/>
          </w:tcPr>
          <w:p>
            <w:pPr>
              <w:spacing w:after="0"/>
              <w:rPr>
                <w:rFonts w:ascii="Arial" w:cs="Arial" w:eastAsia="Arial" w:hAnsi="Arial"/>
                <w:sz w:val="14"/>
                <w:szCs w:val="14"/>
                <w:color w:val="0000FF"/>
              </w:rPr>
            </w:pPr>
            <w:hyperlink r:id="rId170">
              <w:r>
                <w:rPr>
                  <w:rFonts w:ascii="Arial" w:cs="Arial" w:eastAsia="Arial" w:hAnsi="Arial"/>
                  <w:sz w:val="14"/>
                  <w:szCs w:val="14"/>
                  <w:color w:val="0000FF"/>
                </w:rPr>
                <w:t>2020 Employee Stock Purchase Plan.</w:t>
              </w:r>
            </w:hyperlink>
          </w:p>
        </w:tc>
        <w:tc>
          <w:tcPr>
            <w:tcW w:w="2820" w:type="dxa"/>
            <w:vAlign w:val="bottom"/>
            <w:gridSpan w:val="23"/>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bottom w:val="single" w:sz="8" w:color="0000EE"/>
            </w:tcBorders>
            <w:gridSpan w:val="21"/>
          </w:tcPr>
          <w:p>
            <w:pPr>
              <w:spacing w:after="0"/>
              <w:rPr>
                <w:rFonts w:ascii="Arial" w:cs="Arial" w:eastAsia="Arial" w:hAnsi="Arial"/>
                <w:sz w:val="14"/>
                <w:szCs w:val="14"/>
                <w:color w:val="0000EE"/>
              </w:rPr>
            </w:pPr>
            <w:hyperlink r:id="rId171">
              <w:r>
                <w:rPr>
                  <w:rFonts w:ascii="Arial" w:cs="Arial" w:eastAsia="Arial" w:hAnsi="Arial"/>
                  <w:sz w:val="14"/>
                  <w:szCs w:val="14"/>
                  <w:color w:val="0000EE"/>
                </w:rPr>
                <w:t>Form of Indemnification Agreement for directors and officers.</w:t>
              </w:r>
            </w:hyperlink>
          </w:p>
        </w:tc>
        <w:tc>
          <w:tcPr>
            <w:tcW w:w="2080" w:type="dxa"/>
            <w:vAlign w:val="bottom"/>
            <w:gridSpan w:val="16"/>
          </w:tcPr>
          <w:p>
            <w:pPr>
              <w:spacing w:after="0"/>
              <w:rPr>
                <w:sz w:val="24"/>
                <w:szCs w:val="24"/>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tcBorders>
              <w:bottom w:val="single" w:sz="8" w:color="0000EE"/>
            </w:tcBorders>
            <w:gridSpan w:val="34"/>
          </w:tcPr>
          <w:p>
            <w:pPr>
              <w:spacing w:after="0"/>
              <w:rPr>
                <w:rFonts w:ascii="Arial" w:cs="Arial" w:eastAsia="Arial" w:hAnsi="Arial"/>
                <w:sz w:val="14"/>
                <w:szCs w:val="14"/>
                <w:color w:val="0000EE"/>
              </w:rPr>
            </w:pPr>
            <w:hyperlink r:id="rId172">
              <w:r>
                <w:rPr>
                  <w:rFonts w:ascii="Arial" w:cs="Arial" w:eastAsia="Arial" w:hAnsi="Arial"/>
                  <w:sz w:val="14"/>
                  <w:szCs w:val="14"/>
                  <w:color w:val="0000EE"/>
                </w:rPr>
                <w:t>Collaboration and License Agreement, dated November 16, 2017, among the Registrant, F.</w:t>
              </w:r>
            </w:hyperlink>
          </w:p>
        </w:tc>
        <w:tc>
          <w:tcPr>
            <w:tcW w:w="100" w:type="dxa"/>
            <w:vAlign w:val="bottom"/>
            <w:gridSpan w:val="3"/>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bottom w:val="single" w:sz="8" w:color="0000EE"/>
            </w:tcBorders>
            <w:gridSpan w:val="18"/>
          </w:tcPr>
          <w:p>
            <w:pPr>
              <w:spacing w:after="0" w:line="142" w:lineRule="exact"/>
              <w:rPr>
                <w:rFonts w:ascii="Arial" w:cs="Arial" w:eastAsia="Arial" w:hAnsi="Arial"/>
                <w:sz w:val="14"/>
                <w:szCs w:val="14"/>
                <w:color w:val="0000EE"/>
              </w:rPr>
            </w:pPr>
            <w:hyperlink r:id="rId172">
              <w:r>
                <w:rPr>
                  <w:rFonts w:ascii="Arial" w:cs="Arial" w:eastAsia="Arial" w:hAnsi="Arial"/>
                  <w:sz w:val="14"/>
                  <w:szCs w:val="14"/>
                  <w:color w:val="0000EE"/>
                </w:rPr>
                <w:t>Hoffmann-La Roche Ltd and Hoffmann-La Roche Inc.</w:t>
              </w:r>
            </w:hyperlink>
          </w:p>
        </w:tc>
        <w:tc>
          <w:tcPr>
            <w:tcW w:w="2520" w:type="dxa"/>
            <w:vAlign w:val="bottom"/>
            <w:gridSpan w:val="19"/>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tcBorders>
              <w:bottom w:val="single" w:sz="8" w:color="0000EE"/>
            </w:tcBorders>
            <w:gridSpan w:val="30"/>
          </w:tcPr>
          <w:p>
            <w:pPr>
              <w:spacing w:after="0"/>
              <w:rPr>
                <w:rFonts w:ascii="Arial" w:cs="Arial" w:eastAsia="Arial" w:hAnsi="Arial"/>
                <w:sz w:val="14"/>
                <w:szCs w:val="14"/>
                <w:color w:val="0000EE"/>
              </w:rPr>
            </w:pPr>
            <w:hyperlink r:id="rId173">
              <w:r>
                <w:rPr>
                  <w:rFonts w:ascii="Arial" w:cs="Arial" w:eastAsia="Arial" w:hAnsi="Arial"/>
                  <w:sz w:val="14"/>
                  <w:szCs w:val="14"/>
                  <w:color w:val="0000EE"/>
                </w:rPr>
                <w:t>Amended and Restated Collaboration and License Agreement, dated August 6, 2019,</w:t>
              </w:r>
            </w:hyperlink>
          </w:p>
        </w:tc>
        <w:tc>
          <w:tcPr>
            <w:tcW w:w="480" w:type="dxa"/>
            <w:vAlign w:val="bottom"/>
            <w:gridSpan w:val="7"/>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60" w:type="dxa"/>
            <w:vAlign w:val="bottom"/>
            <w:tcBorders>
              <w:bottom w:val="single" w:sz="8" w:color="0000EE"/>
            </w:tcBorders>
            <w:gridSpan w:val="16"/>
          </w:tcPr>
          <w:p>
            <w:pPr>
              <w:spacing w:after="0" w:line="142" w:lineRule="exact"/>
              <w:rPr>
                <w:rFonts w:ascii="Arial" w:cs="Arial" w:eastAsia="Arial" w:hAnsi="Arial"/>
                <w:sz w:val="14"/>
                <w:szCs w:val="14"/>
                <w:color w:val="0000EE"/>
              </w:rPr>
            </w:pPr>
            <w:hyperlink r:id="rId173">
              <w:r>
                <w:rPr>
                  <w:rFonts w:ascii="Arial" w:cs="Arial" w:eastAsia="Arial" w:hAnsi="Arial"/>
                  <w:sz w:val="14"/>
                  <w:szCs w:val="14"/>
                  <w:color w:val="0000EE"/>
                </w:rPr>
                <w:t>between the Registrant and uniQure biopharma B.V.</w:t>
              </w:r>
            </w:hyperlink>
          </w:p>
        </w:tc>
        <w:tc>
          <w:tcPr>
            <w:tcW w:w="2580" w:type="dxa"/>
            <w:vAlign w:val="bottom"/>
            <w:gridSpan w:val="21"/>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EE"/>
            </w:tcBorders>
            <w:gridSpan w:val="36"/>
          </w:tcPr>
          <w:p>
            <w:pPr>
              <w:spacing w:after="0"/>
              <w:rPr>
                <w:rFonts w:ascii="Arial" w:cs="Arial" w:eastAsia="Arial" w:hAnsi="Arial"/>
                <w:sz w:val="14"/>
                <w:szCs w:val="14"/>
                <w:color w:val="0000EE"/>
              </w:rPr>
            </w:pPr>
            <w:hyperlink r:id="rId174">
              <w:r>
                <w:rPr>
                  <w:rFonts w:ascii="Arial" w:cs="Arial" w:eastAsia="Arial" w:hAnsi="Arial"/>
                  <w:sz w:val="14"/>
                  <w:szCs w:val="14"/>
                  <w:color w:val="0000EE"/>
                </w:rPr>
                <w:t>Collaboration and License Agreement, dated August 6, 2019, by and between the Registrant</w:t>
              </w:r>
            </w:hyperlink>
          </w:p>
        </w:tc>
        <w:tc>
          <w:tcPr>
            <w:tcW w:w="40" w:type="dxa"/>
            <w:vAlign w:val="bottom"/>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Borders>
              <w:bottom w:val="single" w:sz="8" w:color="0000EE"/>
            </w:tcBorders>
            <w:gridSpan w:val="6"/>
          </w:tcPr>
          <w:p>
            <w:pPr>
              <w:spacing w:after="0" w:line="142" w:lineRule="exact"/>
              <w:rPr>
                <w:rFonts w:ascii="Arial" w:cs="Arial" w:eastAsia="Arial" w:hAnsi="Arial"/>
                <w:sz w:val="14"/>
                <w:szCs w:val="14"/>
                <w:color w:val="0000EE"/>
              </w:rPr>
            </w:pPr>
            <w:hyperlink r:id="rId174">
              <w:r>
                <w:rPr>
                  <w:rFonts w:ascii="Arial" w:cs="Arial" w:eastAsia="Arial" w:hAnsi="Arial"/>
                  <w:sz w:val="14"/>
                  <w:szCs w:val="14"/>
                  <w:color w:val="0000EE"/>
                </w:rPr>
                <w:t>and uniQure biopharma B.V.</w:t>
              </w:r>
            </w:hyperlink>
          </w:p>
        </w:tc>
        <w:tc>
          <w:tcPr>
            <w:tcW w:w="4100" w:type="dxa"/>
            <w:vAlign w:val="bottom"/>
            <w:gridSpan w:val="31"/>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EE"/>
            </w:tcBorders>
            <w:gridSpan w:val="29"/>
          </w:tcPr>
          <w:p>
            <w:pPr>
              <w:spacing w:after="0"/>
              <w:rPr>
                <w:rFonts w:ascii="Arial" w:cs="Arial" w:eastAsia="Arial" w:hAnsi="Arial"/>
                <w:sz w:val="14"/>
                <w:szCs w:val="14"/>
                <w:color w:val="0000EE"/>
              </w:rPr>
            </w:pPr>
            <w:hyperlink r:id="rId175">
              <w:r>
                <w:rPr>
                  <w:rFonts w:ascii="Arial" w:cs="Arial" w:eastAsia="Arial" w:hAnsi="Arial"/>
                  <w:sz w:val="14"/>
                  <w:szCs w:val="14"/>
                  <w:color w:val="0000EE"/>
                </w:rPr>
                <w:t>Exclusive License and Bailment Agreement, dated December 19, 2013, between the</w:t>
              </w:r>
            </w:hyperlink>
          </w:p>
        </w:tc>
        <w:tc>
          <w:tcPr>
            <w:tcW w:w="540" w:type="dxa"/>
            <w:vAlign w:val="bottom"/>
            <w:gridSpan w:val="8"/>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bottom w:val="single" w:sz="8" w:color="0000EE"/>
            </w:tcBorders>
            <w:gridSpan w:val="19"/>
          </w:tcPr>
          <w:p>
            <w:pPr>
              <w:spacing w:after="0" w:line="142" w:lineRule="exact"/>
              <w:rPr>
                <w:rFonts w:ascii="Arial" w:cs="Arial" w:eastAsia="Arial" w:hAnsi="Arial"/>
                <w:sz w:val="14"/>
                <w:szCs w:val="14"/>
                <w:color w:val="0000EE"/>
              </w:rPr>
            </w:pPr>
            <w:hyperlink r:id="rId175">
              <w:r>
                <w:rPr>
                  <w:rFonts w:ascii="Arial" w:cs="Arial" w:eastAsia="Arial" w:hAnsi="Arial"/>
                  <w:sz w:val="14"/>
                  <w:szCs w:val="14"/>
                  <w:color w:val="0000EE"/>
                </w:rPr>
                <w:t>Registrant and The Regents of the University of California.</w:t>
              </w:r>
            </w:hyperlink>
          </w:p>
        </w:tc>
        <w:tc>
          <w:tcPr>
            <w:tcW w:w="2200" w:type="dxa"/>
            <w:vAlign w:val="bottom"/>
            <w:gridSpan w:val="18"/>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EE"/>
            </w:tcBorders>
            <w:gridSpan w:val="29"/>
          </w:tcPr>
          <w:p>
            <w:pPr>
              <w:spacing w:after="0"/>
              <w:rPr>
                <w:rFonts w:ascii="Arial" w:cs="Arial" w:eastAsia="Arial" w:hAnsi="Arial"/>
                <w:sz w:val="14"/>
                <w:szCs w:val="14"/>
                <w:color w:val="0000EE"/>
              </w:rPr>
            </w:pPr>
            <w:hyperlink r:id="rId176">
              <w:r>
                <w:rPr>
                  <w:rFonts w:ascii="Arial" w:cs="Arial" w:eastAsia="Arial" w:hAnsi="Arial"/>
                  <w:sz w:val="14"/>
                  <w:szCs w:val="14"/>
                  <w:color w:val="0000EE"/>
                </w:rPr>
                <w:t>Exclusive License and Bailment Agreement, dated December 19, 2013, between the</w:t>
              </w:r>
            </w:hyperlink>
          </w:p>
        </w:tc>
        <w:tc>
          <w:tcPr>
            <w:tcW w:w="540" w:type="dxa"/>
            <w:vAlign w:val="bottom"/>
            <w:gridSpan w:val="8"/>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bottom w:val="single" w:sz="8" w:color="0000EE"/>
            </w:tcBorders>
            <w:gridSpan w:val="19"/>
          </w:tcPr>
          <w:p>
            <w:pPr>
              <w:spacing w:after="0" w:line="142" w:lineRule="exact"/>
              <w:rPr>
                <w:rFonts w:ascii="Arial" w:cs="Arial" w:eastAsia="Arial" w:hAnsi="Arial"/>
                <w:sz w:val="14"/>
                <w:szCs w:val="14"/>
                <w:color w:val="0000EE"/>
              </w:rPr>
            </w:pPr>
            <w:hyperlink r:id="rId176">
              <w:r>
                <w:rPr>
                  <w:rFonts w:ascii="Arial" w:cs="Arial" w:eastAsia="Arial" w:hAnsi="Arial"/>
                  <w:sz w:val="14"/>
                  <w:szCs w:val="14"/>
                  <w:color w:val="0000EE"/>
                </w:rPr>
                <w:t>Registrant and The Regents of the University of California.</w:t>
              </w:r>
            </w:hyperlink>
          </w:p>
        </w:tc>
        <w:tc>
          <w:tcPr>
            <w:tcW w:w="2200" w:type="dxa"/>
            <w:vAlign w:val="bottom"/>
            <w:gridSpan w:val="18"/>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40" w:type="dxa"/>
            <w:vAlign w:val="bottom"/>
            <w:gridSpan w:val="37"/>
          </w:tcPr>
          <w:p>
            <w:pPr>
              <w:spacing w:after="0"/>
              <w:rPr>
                <w:rFonts w:ascii="Arial" w:cs="Arial" w:eastAsia="Arial" w:hAnsi="Arial"/>
                <w:sz w:val="14"/>
                <w:szCs w:val="14"/>
                <w:color w:val="0000EE"/>
              </w:rPr>
            </w:pPr>
            <w:hyperlink r:id="rId177">
              <w:r>
                <w:rPr>
                  <w:rFonts w:ascii="Arial" w:cs="Arial" w:eastAsia="Arial" w:hAnsi="Arial"/>
                  <w:sz w:val="14"/>
                  <w:szCs w:val="14"/>
                  <w:color w:val="0000EE"/>
                </w:rPr>
                <w:t>Offer Letter, dated March 20, 2015 between David Kirn, M.D. and the Registrant.</w:t>
              </w:r>
            </w:hyperlink>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720" w:type="dxa"/>
            <w:vAlign w:val="bottom"/>
            <w:gridSpan w:val="10"/>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EE"/>
            </w:tcBorders>
            <w:gridSpan w:val="31"/>
          </w:tcPr>
          <w:p>
            <w:pPr>
              <w:spacing w:after="0"/>
              <w:rPr>
                <w:rFonts w:ascii="Arial" w:cs="Arial" w:eastAsia="Arial" w:hAnsi="Arial"/>
                <w:sz w:val="14"/>
                <w:szCs w:val="14"/>
                <w:color w:val="0000EE"/>
              </w:rPr>
            </w:pPr>
            <w:hyperlink r:id="rId178">
              <w:r>
                <w:rPr>
                  <w:rFonts w:ascii="Arial" w:cs="Arial" w:eastAsia="Arial" w:hAnsi="Arial"/>
                  <w:sz w:val="14"/>
                  <w:szCs w:val="14"/>
                  <w:color w:val="0000EE"/>
                </w:rPr>
                <w:t>Employment Agreement, dated January 15, 2019 between Peter Francis, M.D., Ph.D. and</w:t>
              </w:r>
            </w:hyperlink>
          </w:p>
        </w:tc>
        <w:tc>
          <w:tcPr>
            <w:tcW w:w="200" w:type="dxa"/>
            <w:vAlign w:val="bottom"/>
            <w:gridSpan w:val="6"/>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0000EE"/>
            </w:tcBorders>
            <w:gridSpan w:val="2"/>
          </w:tcPr>
          <w:p>
            <w:pPr>
              <w:spacing w:after="0" w:line="142" w:lineRule="exact"/>
              <w:rPr>
                <w:rFonts w:ascii="Arial" w:cs="Arial" w:eastAsia="Arial" w:hAnsi="Arial"/>
                <w:sz w:val="14"/>
                <w:szCs w:val="14"/>
                <w:color w:val="0000EE"/>
              </w:rPr>
            </w:pPr>
            <w:hyperlink r:id="rId178">
              <w:r>
                <w:rPr>
                  <w:rFonts w:ascii="Arial" w:cs="Arial" w:eastAsia="Arial" w:hAnsi="Arial"/>
                  <w:sz w:val="14"/>
                  <w:szCs w:val="14"/>
                  <w:color w:val="0000EE"/>
                </w:rPr>
                <w:t>the Registrant.</w:t>
              </w:r>
            </w:hyperlink>
          </w:p>
        </w:tc>
        <w:tc>
          <w:tcPr>
            <w:tcW w:w="4980" w:type="dxa"/>
            <w:vAlign w:val="bottom"/>
            <w:gridSpan w:val="35"/>
          </w:tcPr>
          <w:p>
            <w:pPr>
              <w:spacing w:after="0"/>
              <w:rPr>
                <w:sz w:val="12"/>
                <w:szCs w:val="12"/>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tcBorders>
              <w:bottom w:val="single" w:sz="8" w:color="0000FF"/>
            </w:tcBorders>
            <w:gridSpan w:val="26"/>
          </w:tcPr>
          <w:p>
            <w:pPr>
              <w:spacing w:after="0"/>
              <w:rPr>
                <w:rFonts w:ascii="Arial" w:cs="Arial" w:eastAsia="Arial" w:hAnsi="Arial"/>
                <w:sz w:val="14"/>
                <w:szCs w:val="14"/>
                <w:color w:val="0000FF"/>
              </w:rPr>
            </w:pPr>
            <w:hyperlink r:id="rId179">
              <w:r>
                <w:rPr>
                  <w:rFonts w:ascii="Arial" w:cs="Arial" w:eastAsia="Arial" w:hAnsi="Arial"/>
                  <w:sz w:val="14"/>
                  <w:szCs w:val="14"/>
                  <w:color w:val="0000FF"/>
                </w:rPr>
                <w:t>Offer Letter, dated January 4, 2019 between August Moretti and the Registrant.</w:t>
              </w:r>
            </w:hyperlink>
          </w:p>
        </w:tc>
        <w:tc>
          <w:tcPr>
            <w:tcW w:w="80" w:type="dxa"/>
            <w:vAlign w:val="bottom"/>
            <w:tcBorders>
              <w:bottom w:val="single" w:sz="8" w:color="0000EE"/>
            </w:tcBorders>
          </w:tcPr>
          <w:p>
            <w:pPr>
              <w:spacing w:after="0"/>
              <w:rPr>
                <w:sz w:val="24"/>
                <w:szCs w:val="24"/>
                <w:color w:val="auto"/>
              </w:rPr>
            </w:pPr>
          </w:p>
        </w:tc>
        <w:tc>
          <w:tcPr>
            <w:tcW w:w="840" w:type="dxa"/>
            <w:vAlign w:val="bottom"/>
            <w:gridSpan w:val="10"/>
          </w:tcPr>
          <w:p>
            <w:pPr>
              <w:spacing w:after="0"/>
              <w:rPr>
                <w:sz w:val="24"/>
                <w:szCs w:val="24"/>
                <w:color w:val="auto"/>
              </w:rPr>
            </w:pPr>
          </w:p>
        </w:tc>
      </w:tr>
      <w:tr>
        <w:trPr>
          <w:trHeight w:val="317"/>
        </w:trPr>
        <w:tc>
          <w:tcPr>
            <w:tcW w:w="1080" w:type="dxa"/>
            <w:vAlign w:val="bottom"/>
          </w:tcPr>
          <w:p>
            <w:pPr>
              <w:ind w:left="20"/>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33"/>
          </w:tcPr>
          <w:p>
            <w:pPr>
              <w:spacing w:after="0"/>
              <w:rPr>
                <w:rFonts w:ascii="Arial" w:cs="Arial" w:eastAsia="Arial" w:hAnsi="Arial"/>
                <w:sz w:val="14"/>
                <w:szCs w:val="14"/>
                <w:color w:val="0000FF"/>
              </w:rPr>
            </w:pPr>
            <w:hyperlink r:id="rId180">
              <w:r>
                <w:rPr>
                  <w:rFonts w:ascii="Arial" w:cs="Arial" w:eastAsia="Arial" w:hAnsi="Arial"/>
                  <w:sz w:val="14"/>
                  <w:szCs w:val="14"/>
                  <w:color w:val="0000FF"/>
                </w:rPr>
                <w:t>Change in Control and Severance Agreement, dated September 22, 2021, by and between</w:t>
              </w:r>
            </w:hyperlink>
          </w:p>
        </w:tc>
        <w:tc>
          <w:tcPr>
            <w:tcW w:w="120" w:type="dxa"/>
            <w:vAlign w:val="bottom"/>
            <w:gridSpan w:val="4"/>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tcBorders>
              <w:bottom w:val="single" w:sz="8" w:color="0000EE"/>
            </w:tcBorders>
            <w:gridSpan w:val="13"/>
          </w:tcPr>
          <w:p>
            <w:pPr>
              <w:spacing w:after="0" w:line="142" w:lineRule="exact"/>
              <w:rPr>
                <w:rFonts w:ascii="Arial" w:cs="Arial" w:eastAsia="Arial" w:hAnsi="Arial"/>
                <w:sz w:val="14"/>
                <w:szCs w:val="14"/>
                <w:color w:val="0000FF"/>
              </w:rPr>
            </w:pPr>
            <w:hyperlink r:id="rId180">
              <w:r>
                <w:rPr>
                  <w:rFonts w:ascii="Arial" w:cs="Arial" w:eastAsia="Arial" w:hAnsi="Arial"/>
                  <w:sz w:val="14"/>
                  <w:szCs w:val="14"/>
                  <w:color w:val="0000FF"/>
                </w:rPr>
                <w:t>David Kirn and 4D Molecular Therapeutics, Inc.</w:t>
              </w:r>
            </w:hyperlink>
          </w:p>
        </w:tc>
        <w:tc>
          <w:tcPr>
            <w:tcW w:w="2900" w:type="dxa"/>
            <w:vAlign w:val="bottom"/>
            <w:gridSpan w:val="24"/>
          </w:tcPr>
          <w:p>
            <w:pPr>
              <w:spacing w:after="0"/>
              <w:rPr>
                <w:sz w:val="12"/>
                <w:szCs w:val="12"/>
                <w:color w:val="auto"/>
              </w:rPr>
            </w:pPr>
          </w:p>
        </w:tc>
      </w:tr>
      <w:tr>
        <w:trPr>
          <w:trHeight w:val="358"/>
        </w:trPr>
        <w:tc>
          <w:tcPr>
            <w:tcW w:w="1080" w:type="dxa"/>
            <w:vAlign w:val="bottom"/>
          </w:tcPr>
          <w:p>
            <w:pPr>
              <w:ind w:left="20"/>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33"/>
          </w:tcPr>
          <w:p>
            <w:pPr>
              <w:spacing w:after="0"/>
              <w:rPr>
                <w:rFonts w:ascii="Arial" w:cs="Arial" w:eastAsia="Arial" w:hAnsi="Arial"/>
                <w:sz w:val="14"/>
                <w:szCs w:val="14"/>
                <w:color w:val="0000FF"/>
              </w:rPr>
            </w:pPr>
            <w:hyperlink r:id="rId181">
              <w:r>
                <w:rPr>
                  <w:rFonts w:ascii="Arial" w:cs="Arial" w:eastAsia="Arial" w:hAnsi="Arial"/>
                  <w:sz w:val="14"/>
                  <w:szCs w:val="14"/>
                  <w:color w:val="0000FF"/>
                </w:rPr>
                <w:t>Change in Control and Severance Agreement, dated September 22, 2021, by and between</w:t>
              </w:r>
            </w:hyperlink>
          </w:p>
        </w:tc>
        <w:tc>
          <w:tcPr>
            <w:tcW w:w="120" w:type="dxa"/>
            <w:vAlign w:val="bottom"/>
            <w:gridSpan w:val="4"/>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940" w:type="dxa"/>
            <w:vAlign w:val="bottom"/>
            <w:gridSpan w:val="37"/>
          </w:tcPr>
          <w:p>
            <w:pPr>
              <w:spacing w:after="0" w:line="142" w:lineRule="exact"/>
              <w:rPr>
                <w:rFonts w:ascii="Arial" w:cs="Arial" w:eastAsia="Arial" w:hAnsi="Arial"/>
                <w:sz w:val="14"/>
                <w:szCs w:val="14"/>
                <w:color w:val="0000FF"/>
              </w:rPr>
            </w:pPr>
            <w:hyperlink r:id="rId181">
              <w:r>
                <w:rPr>
                  <w:rFonts w:ascii="Arial" w:cs="Arial" w:eastAsia="Arial" w:hAnsi="Arial"/>
                  <w:sz w:val="14"/>
                  <w:szCs w:val="14"/>
                  <w:color w:val="0000FF"/>
                </w:rPr>
                <w:t>August Moretti and 4D Molecular Therapeutics, Inc.</w:t>
              </w:r>
            </w:hyperlink>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Borders>
              <w:right w:val="single" w:sz="8" w:color="0000EE"/>
            </w:tcBorders>
            <w:gridSpan w:val="15"/>
            <w:shd w:val="clear" w:color="auto" w:fill="0000FF"/>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00" w:type="dxa"/>
            <w:vAlign w:val="bottom"/>
            <w:gridSpan w:val="15"/>
          </w:tcPr>
          <w:p>
            <w:pPr>
              <w:spacing w:after="0" w:line="20" w:lineRule="exact"/>
              <w:rPr>
                <w:sz w:val="1"/>
                <w:szCs w:val="1"/>
                <w:color w:val="auto"/>
              </w:rPr>
            </w:pPr>
          </w:p>
        </w:tc>
      </w:tr>
      <w:tr>
        <w:trPr>
          <w:trHeight w:val="358"/>
        </w:trPr>
        <w:tc>
          <w:tcPr>
            <w:tcW w:w="1080" w:type="dxa"/>
            <w:vAlign w:val="bottom"/>
          </w:tcPr>
          <w:p>
            <w:pPr>
              <w:ind w:left="20"/>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Borders>
              <w:bottom w:val="single" w:sz="8" w:color="0000FF"/>
            </w:tcBorders>
            <w:gridSpan w:val="33"/>
          </w:tcPr>
          <w:p>
            <w:pPr>
              <w:spacing w:after="0"/>
              <w:rPr>
                <w:rFonts w:ascii="Arial" w:cs="Arial" w:eastAsia="Arial" w:hAnsi="Arial"/>
                <w:sz w:val="14"/>
                <w:szCs w:val="14"/>
                <w:color w:val="0000FF"/>
              </w:rPr>
            </w:pPr>
            <w:hyperlink r:id="rId182">
              <w:r>
                <w:rPr>
                  <w:rFonts w:ascii="Arial" w:cs="Arial" w:eastAsia="Arial" w:hAnsi="Arial"/>
                  <w:sz w:val="14"/>
                  <w:szCs w:val="14"/>
                  <w:color w:val="0000FF"/>
                </w:rPr>
                <w:t>Change in Control and Severance Agreement, dated September 22, 2021, by and between</w:t>
              </w:r>
            </w:hyperlink>
          </w:p>
        </w:tc>
        <w:tc>
          <w:tcPr>
            <w:tcW w:w="120" w:type="dxa"/>
            <w:vAlign w:val="bottom"/>
            <w:gridSpan w:val="4"/>
          </w:tcPr>
          <w:p>
            <w:pPr>
              <w:spacing w:after="0"/>
              <w:rPr>
                <w:sz w:val="24"/>
                <w:szCs w:val="24"/>
                <w:color w:val="auto"/>
              </w:rPr>
            </w:pPr>
          </w:p>
        </w:tc>
      </w:tr>
      <w:tr>
        <w:trPr>
          <w:trHeight w:val="142"/>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bottom w:val="single" w:sz="8" w:color="0000FF"/>
            </w:tcBorders>
            <w:gridSpan w:val="22"/>
          </w:tcPr>
          <w:p>
            <w:pPr>
              <w:spacing w:after="0" w:line="142" w:lineRule="exact"/>
              <w:rPr>
                <w:rFonts w:ascii="Arial" w:cs="Arial" w:eastAsia="Arial" w:hAnsi="Arial"/>
                <w:sz w:val="14"/>
                <w:szCs w:val="14"/>
                <w:color w:val="0000FF"/>
              </w:rPr>
            </w:pPr>
            <w:hyperlink r:id="rId182">
              <w:r>
                <w:rPr>
                  <w:rFonts w:ascii="Arial" w:cs="Arial" w:eastAsia="Arial" w:hAnsi="Arial"/>
                  <w:sz w:val="14"/>
                  <w:szCs w:val="14"/>
                  <w:color w:val="0000FF"/>
                </w:rPr>
                <w:t>Robert Stephen Fishman and 4D Molecular Therapeutics, Inc.</w:t>
              </w:r>
            </w:hyperlink>
          </w:p>
        </w:tc>
        <w:tc>
          <w:tcPr>
            <w:tcW w:w="2000" w:type="dxa"/>
            <w:vAlign w:val="bottom"/>
            <w:gridSpan w:val="15"/>
          </w:tcPr>
          <w:p>
            <w:pPr>
              <w:spacing w:after="0"/>
              <w:rPr>
                <w:sz w:val="12"/>
                <w:szCs w:val="12"/>
                <w:color w:val="auto"/>
              </w:rPr>
            </w:pPr>
          </w:p>
        </w:tc>
      </w:tr>
      <w:tr>
        <w:trPr>
          <w:trHeight w:val="439"/>
        </w:trPr>
        <w:tc>
          <w:tcPr>
            <w:tcW w:w="1080" w:type="dxa"/>
            <w:vAlign w:val="bottom"/>
          </w:tcPr>
          <w:p>
            <w:pPr>
              <w:spacing w:after="0"/>
              <w:rPr>
                <w:sz w:val="24"/>
                <w:szCs w:val="24"/>
                <w:color w:val="auto"/>
              </w:rPr>
            </w:pPr>
          </w:p>
        </w:tc>
        <w:tc>
          <w:tcPr>
            <w:tcW w:w="4760" w:type="dxa"/>
            <w:vAlign w:val="bottom"/>
            <w:gridSpan w:val="26"/>
          </w:tcPr>
          <w:p>
            <w:pPr>
              <w:jc w:val="right"/>
              <w:ind w:right="6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0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Filed</w:t>
            </w:r>
          </w:p>
        </w:tc>
      </w:tr>
      <w:tr>
        <w:trPr>
          <w:trHeight w:val="189"/>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2"/>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6/17/22</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10.1(a)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10.1(b)</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99.2(a)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10.2(b)</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rPr>
              <w:t>10.2(c)</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10.2(d)</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S-8</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12/15/20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11/17/20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99"/>
        </w:trPr>
        <w:tc>
          <w:tcPr>
            <w:tcW w:w="1000" w:type="dxa"/>
            <w:vAlign w:val="bottom"/>
          </w:tcPr>
          <w:p>
            <w:pPr>
              <w:jc w:val="center"/>
              <w:spacing w:after="0"/>
              <w:rPr>
                <w:sz w:val="20"/>
                <w:szCs w:val="20"/>
                <w:color w:val="auto"/>
              </w:rPr>
            </w:pPr>
            <w:r>
              <w:rPr>
                <w:rFonts w:ascii="Arial" w:cs="Arial" w:eastAsia="Arial" w:hAnsi="Arial"/>
                <w:sz w:val="14"/>
                <w:szCs w:val="14"/>
                <w:color w:val="auto"/>
              </w:rPr>
              <w:t>S-1/A</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12/7/20</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7"/>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10.13</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39"/>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10.14</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39"/>
        </w:trPr>
        <w:tc>
          <w:tcPr>
            <w:tcW w:w="1000" w:type="dxa"/>
            <w:vAlign w:val="bottom"/>
          </w:tcPr>
          <w:p>
            <w:pPr>
              <w:jc w:val="center"/>
              <w:spacing w:after="0"/>
              <w:rPr>
                <w:sz w:val="20"/>
                <w:szCs w:val="20"/>
                <w:color w:val="auto"/>
              </w:rPr>
            </w:pPr>
            <w:r>
              <w:rPr>
                <w:rFonts w:ascii="Arial" w:cs="Arial" w:eastAsia="Arial" w:hAnsi="Arial"/>
                <w:sz w:val="14"/>
                <w:szCs w:val="14"/>
                <w:color w:val="auto"/>
              </w:rPr>
              <w:t>8-K</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9/24/21</w:t>
            </w:r>
          </w:p>
        </w:tc>
        <w:tc>
          <w:tcPr>
            <w:tcW w:w="1000" w:type="dxa"/>
            <w:vAlign w:val="bottom"/>
            <w:gridSpan w:val="2"/>
          </w:tcPr>
          <w:p>
            <w:pPr>
              <w:jc w:val="center"/>
              <w:ind w:left="48"/>
              <w:spacing w:after="0"/>
              <w:rPr>
                <w:sz w:val="20"/>
                <w:szCs w:val="20"/>
                <w:color w:val="auto"/>
              </w:rPr>
            </w:pPr>
            <w:r>
              <w:rPr>
                <w:rFonts w:ascii="Arial" w:cs="Arial" w:eastAsia="Arial" w:hAnsi="Arial"/>
                <w:sz w:val="14"/>
                <w:szCs w:val="14"/>
                <w:color w:val="auto"/>
              </w:rPr>
              <w:t>10.15</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2">
            <w:col w:w="7160" w:space="120"/>
            <w:col w:w="3960"/>
          </w:cols>
          <w:pgMar w:left="320" w:top="324" w:right="339" w:bottom="1440" w:gutter="0" w:footer="0" w:header="0"/>
        </w:sectPr>
      </w:pPr>
    </w:p>
    <w:bookmarkStart w:id="130" w:name="page131"/>
    <w:bookmarkEnd w:id="13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20"/>
                <w:szCs w:val="20"/>
                <w:color w:val="auto"/>
              </w:rPr>
            </w:pPr>
            <w:r>
              <w:rPr>
                <w:rFonts w:ascii="Arial" w:cs="Arial" w:eastAsia="Arial" w:hAnsi="Arial"/>
                <w:sz w:val="14"/>
                <w:szCs w:val="14"/>
                <w:color w:val="auto"/>
              </w:rPr>
              <w:t>10.16#</w:t>
            </w:r>
          </w:p>
        </w:tc>
        <w:tc>
          <w:tcPr>
            <w:tcW w:w="5840" w:type="dxa"/>
            <w:vAlign w:val="bottom"/>
            <w:tcBorders>
              <w:bottom w:val="single" w:sz="8" w:color="0000FF"/>
            </w:tcBorders>
            <w:gridSpan w:val="11"/>
          </w:tcPr>
          <w:p>
            <w:pPr>
              <w:spacing w:after="0"/>
              <w:rPr>
                <w:rFonts w:ascii="Arial" w:cs="Arial" w:eastAsia="Arial" w:hAnsi="Arial"/>
                <w:sz w:val="14"/>
                <w:szCs w:val="14"/>
                <w:color w:val="0000FF"/>
              </w:rPr>
            </w:pPr>
            <w:hyperlink r:id="rId184">
              <w:r>
                <w:rPr>
                  <w:rFonts w:ascii="Arial" w:cs="Arial" w:eastAsia="Arial" w:hAnsi="Arial"/>
                  <w:sz w:val="14"/>
                  <w:szCs w:val="14"/>
                  <w:color w:val="0000FF"/>
                </w:rPr>
                <w:t>Change in Control and Severance Agreement, dated September 22, 2021, by and between</w:t>
              </w:r>
            </w:hyperlink>
          </w:p>
        </w:tc>
        <w:tc>
          <w:tcPr>
            <w:tcW w:w="340" w:type="dxa"/>
            <w:vAlign w:val="bottom"/>
            <w:gridSpan w:val="3"/>
          </w:tcPr>
          <w:p>
            <w:pPr>
              <w:spacing w:after="0"/>
              <w:rPr>
                <w:sz w:val="14"/>
                <w:szCs w:val="14"/>
                <w:color w:val="auto"/>
              </w:rPr>
            </w:pPr>
          </w:p>
        </w:tc>
        <w:tc>
          <w:tcPr>
            <w:tcW w:w="880" w:type="dxa"/>
            <w:vAlign w:val="bottom"/>
          </w:tcPr>
          <w:p>
            <w:pPr>
              <w:ind w:left="240"/>
              <w:spacing w:after="0"/>
              <w:rPr>
                <w:sz w:val="20"/>
                <w:szCs w:val="20"/>
                <w:color w:val="auto"/>
              </w:rPr>
            </w:pPr>
            <w:r>
              <w:rPr>
                <w:rFonts w:ascii="Arial" w:cs="Arial" w:eastAsia="Arial" w:hAnsi="Arial"/>
                <w:sz w:val="14"/>
                <w:szCs w:val="14"/>
                <w:color w:val="auto"/>
              </w:rPr>
              <w:t>10-Q</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11/10/21</w:t>
            </w:r>
          </w:p>
        </w:tc>
        <w:tc>
          <w:tcPr>
            <w:tcW w:w="1480" w:type="dxa"/>
            <w:vAlign w:val="bottom"/>
          </w:tcPr>
          <w:p>
            <w:pPr>
              <w:jc w:val="right"/>
              <w:ind w:right="768"/>
              <w:spacing w:after="0"/>
              <w:rPr>
                <w:sz w:val="20"/>
                <w:szCs w:val="20"/>
                <w:color w:val="auto"/>
              </w:rPr>
            </w:pPr>
            <w:r>
              <w:rPr>
                <w:rFonts w:ascii="Arial" w:cs="Arial" w:eastAsia="Arial" w:hAnsi="Arial"/>
                <w:sz w:val="14"/>
                <w:szCs w:val="14"/>
                <w:color w:val="auto"/>
              </w:rPr>
              <w:t>10.16</w:t>
            </w:r>
          </w:p>
        </w:tc>
      </w:tr>
      <w:tr>
        <w:trPr>
          <w:trHeight w:val="142"/>
        </w:trPr>
        <w:tc>
          <w:tcPr>
            <w:tcW w:w="1180" w:type="dxa"/>
            <w:vAlign w:val="bottom"/>
          </w:tcPr>
          <w:p>
            <w:pPr>
              <w:spacing w:after="0"/>
              <w:rPr>
                <w:sz w:val="12"/>
                <w:szCs w:val="12"/>
                <w:color w:val="auto"/>
              </w:rPr>
            </w:pPr>
          </w:p>
        </w:tc>
        <w:tc>
          <w:tcPr>
            <w:tcW w:w="3100" w:type="dxa"/>
            <w:vAlign w:val="bottom"/>
            <w:tcBorders>
              <w:bottom w:val="single" w:sz="8" w:color="0000FF"/>
            </w:tcBorders>
            <w:gridSpan w:val="2"/>
          </w:tcPr>
          <w:p>
            <w:pPr>
              <w:spacing w:after="0" w:line="142" w:lineRule="exact"/>
              <w:rPr>
                <w:rFonts w:ascii="Arial" w:cs="Arial" w:eastAsia="Arial" w:hAnsi="Arial"/>
                <w:sz w:val="14"/>
                <w:szCs w:val="14"/>
                <w:color w:val="0000FF"/>
              </w:rPr>
            </w:pPr>
            <w:hyperlink r:id="rId184">
              <w:r>
                <w:rPr>
                  <w:rFonts w:ascii="Arial" w:cs="Arial" w:eastAsia="Arial" w:hAnsi="Arial"/>
                  <w:sz w:val="14"/>
                  <w:szCs w:val="14"/>
                  <w:color w:val="0000FF"/>
                </w:rPr>
                <w:t>Fred Kamal and 4D Molecular Therapeutics, Inc.</w:t>
              </w:r>
            </w:hyperlink>
          </w:p>
        </w:tc>
        <w:tc>
          <w:tcPr>
            <w:tcW w:w="20" w:type="dxa"/>
            <w:vAlign w:val="bottom"/>
            <w:tcBorders>
              <w:bottom w:val="single" w:sz="8" w:color="0000EE"/>
            </w:tcBorders>
          </w:tcPr>
          <w:p>
            <w:pPr>
              <w:spacing w:after="0"/>
              <w:rPr>
                <w:sz w:val="12"/>
                <w:szCs w:val="12"/>
                <w:color w:val="auto"/>
              </w:rPr>
            </w:pPr>
          </w:p>
        </w:tc>
        <w:tc>
          <w:tcPr>
            <w:tcW w:w="3060" w:type="dxa"/>
            <w:vAlign w:val="bottom"/>
            <w:gridSpan w:val="11"/>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4"/>
                <w:szCs w:val="14"/>
                <w:color w:val="auto"/>
              </w:rPr>
              <w:t>10.17#</w:t>
            </w:r>
          </w:p>
        </w:tc>
        <w:tc>
          <w:tcPr>
            <w:tcW w:w="6180" w:type="dxa"/>
            <w:vAlign w:val="bottom"/>
            <w:gridSpan w:val="14"/>
          </w:tcPr>
          <w:p>
            <w:pPr>
              <w:spacing w:after="0"/>
              <w:rPr>
                <w:rFonts w:ascii="Arial" w:cs="Arial" w:eastAsia="Arial" w:hAnsi="Arial"/>
                <w:sz w:val="14"/>
                <w:szCs w:val="14"/>
                <w:color w:val="0000FF"/>
              </w:rPr>
            </w:pPr>
            <w:hyperlink r:id="rId185">
              <w:r>
                <w:rPr>
                  <w:rFonts w:ascii="Arial" w:cs="Arial" w:eastAsia="Arial" w:hAnsi="Arial"/>
                  <w:sz w:val="14"/>
                  <w:szCs w:val="14"/>
                  <w:color w:val="0000FF"/>
                </w:rPr>
                <w:t>Restated Amended and Restated Non-Employee Director Compensation Policy.</w:t>
              </w:r>
            </w:hyperlink>
          </w:p>
        </w:tc>
        <w:tc>
          <w:tcPr>
            <w:tcW w:w="880" w:type="dxa"/>
            <w:vAlign w:val="bottom"/>
          </w:tcPr>
          <w:p>
            <w:pPr>
              <w:ind w:left="240"/>
              <w:spacing w:after="0"/>
              <w:rPr>
                <w:sz w:val="20"/>
                <w:szCs w:val="20"/>
                <w:color w:val="auto"/>
              </w:rPr>
            </w:pPr>
            <w:r>
              <w:rPr>
                <w:rFonts w:ascii="Arial" w:cs="Arial" w:eastAsia="Arial" w:hAnsi="Arial"/>
                <w:sz w:val="14"/>
                <w:szCs w:val="14"/>
                <w:color w:val="auto"/>
              </w:rPr>
              <w:t>10-Q</w:t>
            </w: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5/12/22</w:t>
            </w:r>
          </w:p>
        </w:tc>
        <w:tc>
          <w:tcPr>
            <w:tcW w:w="1480" w:type="dxa"/>
            <w:vAlign w:val="bottom"/>
          </w:tcPr>
          <w:p>
            <w:pPr>
              <w:jc w:val="right"/>
              <w:ind w:right="808"/>
              <w:spacing w:after="0"/>
              <w:rPr>
                <w:sz w:val="20"/>
                <w:szCs w:val="20"/>
                <w:color w:val="auto"/>
              </w:rPr>
            </w:pPr>
            <w:r>
              <w:rPr>
                <w:rFonts w:ascii="Arial" w:cs="Arial" w:eastAsia="Arial" w:hAnsi="Arial"/>
                <w:sz w:val="14"/>
                <w:szCs w:val="14"/>
                <w:color w:val="auto"/>
              </w:rPr>
              <w:t>10.1</w:t>
            </w:r>
          </w:p>
        </w:tc>
      </w:tr>
      <w:tr>
        <w:trPr>
          <w:trHeight w:val="20"/>
        </w:trPr>
        <w:tc>
          <w:tcPr>
            <w:tcW w:w="11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6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4"/>
                <w:szCs w:val="14"/>
                <w:color w:val="auto"/>
              </w:rPr>
              <w:t>23.1</w:t>
            </w:r>
          </w:p>
        </w:tc>
        <w:tc>
          <w:tcPr>
            <w:tcW w:w="5800" w:type="dxa"/>
            <w:vAlign w:val="bottom"/>
            <w:tcBorders>
              <w:bottom w:val="single" w:sz="8" w:color="0000FF"/>
            </w:tcBorders>
            <w:gridSpan w:val="10"/>
          </w:tcPr>
          <w:p>
            <w:pPr>
              <w:spacing w:after="0"/>
              <w:rPr>
                <w:sz w:val="20"/>
                <w:szCs w:val="20"/>
                <w:color w:val="auto"/>
              </w:rPr>
            </w:pPr>
            <w:r>
              <w:rPr>
                <w:rFonts w:ascii="Arial" w:cs="Arial" w:eastAsia="Arial" w:hAnsi="Arial"/>
                <w:sz w:val="14"/>
                <w:szCs w:val="14"/>
                <w:color w:val="0000FF"/>
              </w:rPr>
              <w:t>Consent of PricewaterhouseCoopers LLP, Independent Registered Public Accounting Firm.</w:t>
            </w:r>
          </w:p>
        </w:tc>
        <w:tc>
          <w:tcPr>
            <w:tcW w:w="3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17"/>
        </w:trPr>
        <w:tc>
          <w:tcPr>
            <w:tcW w:w="1180" w:type="dxa"/>
            <w:vAlign w:val="bottom"/>
          </w:tcPr>
          <w:p>
            <w:pPr>
              <w:spacing w:after="0"/>
              <w:rPr>
                <w:sz w:val="20"/>
                <w:szCs w:val="20"/>
                <w:color w:val="auto"/>
              </w:rPr>
            </w:pPr>
            <w:r>
              <w:rPr>
                <w:rFonts w:ascii="Arial" w:cs="Arial" w:eastAsia="Arial" w:hAnsi="Arial"/>
                <w:sz w:val="14"/>
                <w:szCs w:val="14"/>
                <w:color w:val="auto"/>
              </w:rPr>
              <w:t>24.1</w:t>
            </w:r>
          </w:p>
        </w:tc>
        <w:tc>
          <w:tcPr>
            <w:tcW w:w="44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rPr>
              <w:t>Power of Attorney (included on the signature page of this Form 10-K).</w:t>
            </w:r>
          </w:p>
        </w:tc>
        <w:tc>
          <w:tcPr>
            <w:tcW w:w="20" w:type="dxa"/>
            <w:vAlign w:val="bottom"/>
            <w:tcBorders>
              <w:bottom w:val="single" w:sz="8" w:color="0000EE"/>
            </w:tcBorders>
          </w:tcPr>
          <w:p>
            <w:pPr>
              <w:spacing w:after="0"/>
              <w:rPr>
                <w:sz w:val="24"/>
                <w:szCs w:val="24"/>
                <w:color w:val="auto"/>
              </w:rPr>
            </w:pPr>
          </w:p>
        </w:tc>
        <w:tc>
          <w:tcPr>
            <w:tcW w:w="1720" w:type="dxa"/>
            <w:vAlign w:val="bottom"/>
            <w:gridSpan w:val="9"/>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17"/>
        </w:trPr>
        <w:tc>
          <w:tcPr>
            <w:tcW w:w="1180" w:type="dxa"/>
            <w:vAlign w:val="bottom"/>
          </w:tcPr>
          <w:p>
            <w:pPr>
              <w:spacing w:after="0"/>
              <w:rPr>
                <w:sz w:val="20"/>
                <w:szCs w:val="20"/>
                <w:color w:val="auto"/>
              </w:rPr>
            </w:pPr>
            <w:r>
              <w:rPr>
                <w:rFonts w:ascii="Arial" w:cs="Arial" w:eastAsia="Arial" w:hAnsi="Arial"/>
                <w:sz w:val="14"/>
                <w:szCs w:val="14"/>
                <w:color w:val="auto"/>
              </w:rPr>
              <w:t>31.1</w:t>
            </w:r>
          </w:p>
        </w:tc>
        <w:tc>
          <w:tcPr>
            <w:tcW w:w="570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rPr>
              <w:t>Certification of the Principal Executive Officer pursuant to Rules 13a-14(a) and 15d-14(a)</w:t>
            </w:r>
          </w:p>
        </w:tc>
        <w:tc>
          <w:tcPr>
            <w:tcW w:w="48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142"/>
        </w:trPr>
        <w:tc>
          <w:tcPr>
            <w:tcW w:w="1180" w:type="dxa"/>
            <w:vAlign w:val="bottom"/>
          </w:tcPr>
          <w:p>
            <w:pPr>
              <w:spacing w:after="0"/>
              <w:rPr>
                <w:sz w:val="12"/>
                <w:szCs w:val="12"/>
                <w:color w:val="auto"/>
              </w:rPr>
            </w:pPr>
          </w:p>
        </w:tc>
        <w:tc>
          <w:tcPr>
            <w:tcW w:w="5520" w:type="dxa"/>
            <w:vAlign w:val="bottom"/>
            <w:tcBorders>
              <w:bottom w:val="single" w:sz="8" w:color="0000FF"/>
            </w:tcBorders>
            <w:gridSpan w:val="7"/>
          </w:tcPr>
          <w:p>
            <w:pPr>
              <w:spacing w:after="0" w:line="142" w:lineRule="exact"/>
              <w:rPr>
                <w:sz w:val="20"/>
                <w:szCs w:val="20"/>
                <w:color w:val="auto"/>
              </w:rPr>
            </w:pPr>
            <w:r>
              <w:rPr>
                <w:rFonts w:ascii="Arial" w:cs="Arial" w:eastAsia="Arial" w:hAnsi="Arial"/>
                <w:sz w:val="14"/>
                <w:szCs w:val="14"/>
                <w:color w:val="0000FF"/>
              </w:rPr>
              <w:t>under the Securities Exchange Act of 1934, as adopted pursuant to Section 302 of the</w:t>
            </w:r>
          </w:p>
        </w:tc>
        <w:tc>
          <w:tcPr>
            <w:tcW w:w="660" w:type="dxa"/>
            <w:vAlign w:val="bottom"/>
            <w:gridSpan w:val="7"/>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6180" w:type="dxa"/>
            <w:vAlign w:val="bottom"/>
            <w:gridSpan w:val="14"/>
          </w:tcPr>
          <w:p>
            <w:pPr>
              <w:spacing w:after="0" w:line="142" w:lineRule="exact"/>
              <w:rPr>
                <w:sz w:val="20"/>
                <w:szCs w:val="20"/>
                <w:color w:val="auto"/>
              </w:rPr>
            </w:pPr>
            <w:r>
              <w:rPr>
                <w:rFonts w:ascii="Arial" w:cs="Arial" w:eastAsia="Arial" w:hAnsi="Arial"/>
                <w:sz w:val="14"/>
                <w:szCs w:val="14"/>
                <w:color w:val="0000FF"/>
              </w:rPr>
              <w:t>Sarbanes-Oxley Act of 2002.</w:t>
            </w: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800" w:type="dxa"/>
            <w:vAlign w:val="bottom"/>
            <w:tcBorders>
              <w:left w:val="single" w:sz="8" w:color="0000EE"/>
            </w:tcBorders>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4"/>
                <w:szCs w:val="14"/>
                <w:color w:val="auto"/>
              </w:rPr>
              <w:t>31.2</w:t>
            </w:r>
          </w:p>
        </w:tc>
        <w:tc>
          <w:tcPr>
            <w:tcW w:w="56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the Principal Financial Officer pursuant to Rules 13a-14(a) and 15d-14(a)</w:t>
            </w:r>
          </w:p>
        </w:tc>
        <w:tc>
          <w:tcPr>
            <w:tcW w:w="5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142"/>
        </w:trPr>
        <w:tc>
          <w:tcPr>
            <w:tcW w:w="1180" w:type="dxa"/>
            <w:vAlign w:val="bottom"/>
          </w:tcPr>
          <w:p>
            <w:pPr>
              <w:spacing w:after="0"/>
              <w:rPr>
                <w:sz w:val="12"/>
                <w:szCs w:val="12"/>
                <w:color w:val="auto"/>
              </w:rPr>
            </w:pPr>
          </w:p>
        </w:tc>
        <w:tc>
          <w:tcPr>
            <w:tcW w:w="5520" w:type="dxa"/>
            <w:vAlign w:val="bottom"/>
            <w:tcBorders>
              <w:bottom w:val="single" w:sz="8" w:color="0000FF"/>
            </w:tcBorders>
            <w:gridSpan w:val="7"/>
          </w:tcPr>
          <w:p>
            <w:pPr>
              <w:spacing w:after="0" w:line="142" w:lineRule="exact"/>
              <w:rPr>
                <w:sz w:val="20"/>
                <w:szCs w:val="20"/>
                <w:color w:val="auto"/>
              </w:rPr>
            </w:pPr>
            <w:r>
              <w:rPr>
                <w:rFonts w:ascii="Arial" w:cs="Arial" w:eastAsia="Arial" w:hAnsi="Arial"/>
                <w:sz w:val="14"/>
                <w:szCs w:val="14"/>
                <w:color w:val="0000FF"/>
              </w:rPr>
              <w:t>under the Securities Exchange Act of 1934, as adopted pursuant to Section 302 of the</w:t>
            </w:r>
          </w:p>
        </w:tc>
        <w:tc>
          <w:tcPr>
            <w:tcW w:w="660" w:type="dxa"/>
            <w:vAlign w:val="bottom"/>
            <w:gridSpan w:val="7"/>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180" w:type="dxa"/>
            <w:vAlign w:val="bottom"/>
          </w:tcPr>
          <w:p>
            <w:pPr>
              <w:spacing w:after="0"/>
              <w:rPr>
                <w:sz w:val="12"/>
                <w:szCs w:val="12"/>
                <w:color w:val="auto"/>
              </w:rPr>
            </w:pPr>
          </w:p>
        </w:tc>
        <w:tc>
          <w:tcPr>
            <w:tcW w:w="6180" w:type="dxa"/>
            <w:vAlign w:val="bottom"/>
            <w:gridSpan w:val="14"/>
          </w:tcPr>
          <w:p>
            <w:pPr>
              <w:spacing w:after="0" w:line="142" w:lineRule="exact"/>
              <w:rPr>
                <w:sz w:val="20"/>
                <w:szCs w:val="20"/>
                <w:color w:val="auto"/>
              </w:rPr>
            </w:pPr>
            <w:r>
              <w:rPr>
                <w:rFonts w:ascii="Arial" w:cs="Arial" w:eastAsia="Arial" w:hAnsi="Arial"/>
                <w:sz w:val="14"/>
                <w:szCs w:val="14"/>
                <w:color w:val="0000FF"/>
              </w:rPr>
              <w:t>Sarbanes-Oxley Act of 2002.</w:t>
            </w: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11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4"/>
                <w:szCs w:val="14"/>
                <w:color w:val="auto"/>
              </w:rPr>
              <w:t>32.1*</w:t>
            </w:r>
          </w:p>
        </w:tc>
        <w:tc>
          <w:tcPr>
            <w:tcW w:w="590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Certifications of the Principal Executive Officer and Principal Financial Officer pursuant to 18</w:t>
            </w:r>
          </w:p>
        </w:tc>
        <w:tc>
          <w:tcPr>
            <w:tcW w:w="2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142"/>
        </w:trPr>
        <w:tc>
          <w:tcPr>
            <w:tcW w:w="1180" w:type="dxa"/>
            <w:vAlign w:val="bottom"/>
          </w:tcPr>
          <w:p>
            <w:pPr>
              <w:spacing w:after="0"/>
              <w:rPr>
                <w:sz w:val="12"/>
                <w:szCs w:val="12"/>
                <w:color w:val="auto"/>
              </w:rPr>
            </w:pPr>
          </w:p>
        </w:tc>
        <w:tc>
          <w:tcPr>
            <w:tcW w:w="5940" w:type="dxa"/>
            <w:vAlign w:val="bottom"/>
            <w:tcBorders>
              <w:bottom w:val="single" w:sz="8" w:color="0000FF"/>
            </w:tcBorders>
            <w:gridSpan w:val="13"/>
          </w:tcPr>
          <w:p>
            <w:pPr>
              <w:spacing w:after="0" w:line="142" w:lineRule="exact"/>
              <w:rPr>
                <w:sz w:val="20"/>
                <w:szCs w:val="20"/>
                <w:color w:val="auto"/>
              </w:rPr>
            </w:pPr>
            <w:r>
              <w:rPr>
                <w:rFonts w:ascii="Arial" w:cs="Arial" w:eastAsia="Arial" w:hAnsi="Arial"/>
                <w:sz w:val="14"/>
                <w:szCs w:val="14"/>
                <w:color w:val="0000FF"/>
              </w:rPr>
              <w:t>U.S.C. Section 1350, as adopted pursuant to Section 906 of the Sarbanes-Oxley Act of 2002.</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335"/>
        </w:trPr>
        <w:tc>
          <w:tcPr>
            <w:tcW w:w="1180" w:type="dxa"/>
            <w:vAlign w:val="bottom"/>
          </w:tcPr>
          <w:p>
            <w:pPr>
              <w:spacing w:after="0"/>
              <w:rPr>
                <w:sz w:val="20"/>
                <w:szCs w:val="20"/>
                <w:color w:val="auto"/>
              </w:rPr>
            </w:pPr>
            <w:r>
              <w:rPr>
                <w:rFonts w:ascii="Arial" w:cs="Arial" w:eastAsia="Arial" w:hAnsi="Arial"/>
                <w:sz w:val="14"/>
                <w:szCs w:val="14"/>
                <w:color w:val="auto"/>
              </w:rPr>
              <w:t>101.INS</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172"/>
        </w:trPr>
        <w:tc>
          <w:tcPr>
            <w:tcW w:w="1180" w:type="dxa"/>
            <w:vAlign w:val="bottom"/>
          </w:tcPr>
          <w:p>
            <w:pPr>
              <w:spacing w:after="0"/>
              <w:rPr>
                <w:sz w:val="14"/>
                <w:szCs w:val="14"/>
                <w:color w:val="auto"/>
              </w:rPr>
            </w:pPr>
          </w:p>
        </w:tc>
        <w:tc>
          <w:tcPr>
            <w:tcW w:w="6180" w:type="dxa"/>
            <w:vAlign w:val="bottom"/>
            <w:gridSpan w:val="14"/>
          </w:tcPr>
          <w:p>
            <w:pPr>
              <w:spacing w:after="0"/>
              <w:rPr>
                <w:sz w:val="20"/>
                <w:szCs w:val="20"/>
                <w:color w:val="auto"/>
              </w:rPr>
            </w:pPr>
            <w:r>
              <w:rPr>
                <w:rFonts w:ascii="Arial" w:cs="Arial" w:eastAsia="Arial" w:hAnsi="Arial"/>
                <w:sz w:val="14"/>
                <w:szCs w:val="14"/>
                <w:color w:val="auto"/>
              </w:rPr>
              <w:t>Data File because XBRL tags are embedded within the Inline XBRL document.</w:t>
            </w: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7"/>
        </w:trPr>
        <w:tc>
          <w:tcPr>
            <w:tcW w:w="1180" w:type="dxa"/>
            <w:vAlign w:val="bottom"/>
          </w:tcPr>
          <w:p>
            <w:pPr>
              <w:spacing w:after="0"/>
              <w:rPr>
                <w:sz w:val="20"/>
                <w:szCs w:val="20"/>
                <w:color w:val="auto"/>
              </w:rPr>
            </w:pPr>
            <w:r>
              <w:rPr>
                <w:rFonts w:ascii="Arial" w:cs="Arial" w:eastAsia="Arial" w:hAnsi="Arial"/>
                <w:sz w:val="14"/>
                <w:szCs w:val="14"/>
                <w:color w:val="auto"/>
              </w:rPr>
              <w:t>101.SCH</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Taxonomy Extension Schema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37"/>
        </w:trPr>
        <w:tc>
          <w:tcPr>
            <w:tcW w:w="1180" w:type="dxa"/>
            <w:vAlign w:val="bottom"/>
          </w:tcPr>
          <w:p>
            <w:pPr>
              <w:spacing w:after="0"/>
              <w:rPr>
                <w:sz w:val="20"/>
                <w:szCs w:val="20"/>
                <w:color w:val="auto"/>
              </w:rPr>
            </w:pPr>
            <w:r>
              <w:rPr>
                <w:rFonts w:ascii="Arial" w:cs="Arial" w:eastAsia="Arial" w:hAnsi="Arial"/>
                <w:sz w:val="14"/>
                <w:szCs w:val="14"/>
                <w:color w:val="auto"/>
              </w:rPr>
              <w:t>101.CAL</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37"/>
        </w:trPr>
        <w:tc>
          <w:tcPr>
            <w:tcW w:w="1180" w:type="dxa"/>
            <w:vAlign w:val="bottom"/>
          </w:tcPr>
          <w:p>
            <w:pPr>
              <w:spacing w:after="0"/>
              <w:rPr>
                <w:sz w:val="20"/>
                <w:szCs w:val="20"/>
                <w:color w:val="auto"/>
              </w:rPr>
            </w:pPr>
            <w:r>
              <w:rPr>
                <w:rFonts w:ascii="Arial" w:cs="Arial" w:eastAsia="Arial" w:hAnsi="Arial"/>
                <w:sz w:val="14"/>
                <w:szCs w:val="14"/>
                <w:color w:val="auto"/>
              </w:rPr>
              <w:t>101.DEF</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37"/>
        </w:trPr>
        <w:tc>
          <w:tcPr>
            <w:tcW w:w="1180" w:type="dxa"/>
            <w:vAlign w:val="bottom"/>
          </w:tcPr>
          <w:p>
            <w:pPr>
              <w:spacing w:after="0"/>
              <w:rPr>
                <w:sz w:val="20"/>
                <w:szCs w:val="20"/>
                <w:color w:val="auto"/>
              </w:rPr>
            </w:pPr>
            <w:r>
              <w:rPr>
                <w:rFonts w:ascii="Arial" w:cs="Arial" w:eastAsia="Arial" w:hAnsi="Arial"/>
                <w:sz w:val="14"/>
                <w:szCs w:val="14"/>
                <w:color w:val="auto"/>
              </w:rPr>
              <w:t>101.LAB</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37"/>
        </w:trPr>
        <w:tc>
          <w:tcPr>
            <w:tcW w:w="1180" w:type="dxa"/>
            <w:vAlign w:val="bottom"/>
          </w:tcPr>
          <w:p>
            <w:pPr>
              <w:spacing w:after="0"/>
              <w:rPr>
                <w:sz w:val="20"/>
                <w:szCs w:val="20"/>
                <w:color w:val="auto"/>
              </w:rPr>
            </w:pPr>
            <w:r>
              <w:rPr>
                <w:rFonts w:ascii="Arial" w:cs="Arial" w:eastAsia="Arial" w:hAnsi="Arial"/>
                <w:sz w:val="14"/>
                <w:szCs w:val="14"/>
                <w:color w:val="auto"/>
              </w:rPr>
              <w:t>101.PRE</w:t>
            </w:r>
          </w:p>
        </w:tc>
        <w:tc>
          <w:tcPr>
            <w:tcW w:w="6180" w:type="dxa"/>
            <w:vAlign w:val="bottom"/>
            <w:gridSpan w:val="14"/>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4"/>
                <w:szCs w:val="14"/>
                <w:color w:val="auto"/>
                <w:w w:val="85"/>
              </w:rPr>
              <w:t>X</w:t>
            </w:r>
          </w:p>
        </w:tc>
      </w:tr>
      <w:tr>
        <w:trPr>
          <w:trHeight w:val="341"/>
        </w:trPr>
        <w:tc>
          <w:tcPr>
            <w:tcW w:w="1180" w:type="dxa"/>
            <w:vAlign w:val="bottom"/>
          </w:tcPr>
          <w:p>
            <w:pPr>
              <w:spacing w:after="0"/>
              <w:rPr>
                <w:sz w:val="20"/>
                <w:szCs w:val="20"/>
                <w:color w:val="auto"/>
              </w:rPr>
            </w:pPr>
            <w:r>
              <w:rPr>
                <w:rFonts w:ascii="Arial" w:cs="Arial" w:eastAsia="Arial" w:hAnsi="Arial"/>
                <w:sz w:val="15"/>
                <w:szCs w:val="15"/>
                <w:color w:val="auto"/>
              </w:rPr>
              <w:t>104</w:t>
            </w:r>
          </w:p>
        </w:tc>
        <w:tc>
          <w:tcPr>
            <w:tcW w:w="6180" w:type="dxa"/>
            <w:vAlign w:val="bottom"/>
            <w:gridSpan w:val="14"/>
          </w:tcPr>
          <w:p>
            <w:pPr>
              <w:spacing w:after="0"/>
              <w:rPr>
                <w:sz w:val="20"/>
                <w:szCs w:val="20"/>
                <w:color w:val="auto"/>
              </w:rPr>
            </w:pPr>
            <w:r>
              <w:rPr>
                <w:rFonts w:ascii="Arial" w:cs="Arial" w:eastAsia="Arial" w:hAnsi="Arial"/>
                <w:sz w:val="15"/>
                <w:szCs w:val="15"/>
                <w:color w:val="auto"/>
              </w:rPr>
              <w:t>Cover Page Interactive Data File (embedded within the Inline XBRL document)</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5"/>
                <w:szCs w:val="15"/>
                <w:color w:val="auto"/>
                <w:w w:val="79"/>
              </w:rPr>
              <w:t>X</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Certain confidential portions (indicated by brackets and asterisks) have been omitted form this exhibit.</w:t>
      </w:r>
    </w:p>
    <w:p>
      <w:pPr>
        <w:spacing w:after="0" w:line="103" w:lineRule="exact"/>
        <w:rPr>
          <w:sz w:val="20"/>
          <w:szCs w:val="20"/>
          <w:color w:val="auto"/>
        </w:rPr>
      </w:pPr>
    </w:p>
    <w:p>
      <w:pPr>
        <w:jc w:val="both"/>
        <w:ind w:firstLine="8"/>
        <w:spacing w:after="0" w:line="238" w:lineRule="auto"/>
        <w:tabs>
          <w:tab w:leader="none" w:pos="1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4D Molecular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4D Molecular Therapeutics, Inc.</w:t>
      </w:r>
    </w:p>
    <w:p>
      <w:pPr>
        <w:spacing w:after="0" w:line="247" w:lineRule="exact"/>
        <w:rPr>
          <w:sz w:val="20"/>
          <w:szCs w:val="20"/>
          <w:color w:val="auto"/>
        </w:rPr>
      </w:pPr>
    </w:p>
    <w:p>
      <w:pPr>
        <w:ind w:left="20"/>
        <w:spacing w:after="0"/>
        <w:tabs>
          <w:tab w:leader="none" w:pos="5560" w:val="left"/>
          <w:tab w:leader="none" w:pos="812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6350</wp:posOffset>
            </wp:positionV>
            <wp:extent cx="32537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Kirn, M.D.</w:t>
      </w:r>
    </w:p>
    <w:p>
      <w:pPr>
        <w:spacing w:after="0" w:line="4"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Chief Executive Officer and Director</w:t>
      </w:r>
    </w:p>
    <w:p>
      <w:pPr>
        <w:ind w:left="626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16"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Power of Attorney</w:t>
      </w:r>
    </w:p>
    <w:p>
      <w:pPr>
        <w:spacing w:after="0" w:line="23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Kirn and August Moretti,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20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2"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120" w:type="dxa"/>
            <w:vAlign w:val="bottom"/>
          </w:tcPr>
          <w:p>
            <w:pPr>
              <w:spacing w:after="0"/>
              <w:rPr>
                <w:sz w:val="20"/>
                <w:szCs w:val="20"/>
                <w:color w:val="auto"/>
              </w:rPr>
            </w:pPr>
          </w:p>
        </w:tc>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Title</w:t>
            </w:r>
          </w:p>
        </w:tc>
      </w:tr>
      <w:tr>
        <w:trPr>
          <w:trHeight w:val="53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Kirn</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Executive Officer and Director</w:t>
            </w:r>
          </w:p>
        </w:tc>
      </w:tr>
      <w:tr>
        <w:trPr>
          <w:trHeight w:val="42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David Kirn, M.D.</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r>
      <w:tr>
        <w:trPr>
          <w:trHeight w:val="53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August J. Moretti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42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August J. Moretti</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3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John F. Milligan</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Executive Chairman</w:t>
            </w:r>
          </w:p>
        </w:tc>
      </w:tr>
      <w:tr>
        <w:trPr>
          <w:trHeight w:val="42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John F. Milligan, Ph.D.</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58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Jacob Chacko</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2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Jacob Chacko, M.D., MBA</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Noriyuki Kasahara</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Noriyuki Kasahara, M.D., Ph.D.</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Susannah Gray</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Susannah Gray,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Nancy Miller-Rich</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Nancy Miller-Rich</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5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Charles P. Theuer</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25"/>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8"/>
              </w:rPr>
              <w:t>Charles P. Theuer, M.D., Ph.D.</w:t>
            </w:r>
          </w:p>
        </w:tc>
        <w:tc>
          <w:tcPr>
            <w:tcW w:w="12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3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Shawn Cline Tomasello</w:t>
            </w:r>
          </w:p>
        </w:tc>
        <w:tc>
          <w:tcPr>
            <w:tcW w:w="120" w:type="dxa"/>
            <w:vAlign w:val="bottom"/>
          </w:tcPr>
          <w:p>
            <w:pPr>
              <w:spacing w:after="0"/>
              <w:rPr>
                <w:sz w:val="24"/>
                <w:szCs w:val="24"/>
                <w:color w:val="auto"/>
              </w:rPr>
            </w:pPr>
          </w:p>
        </w:tc>
        <w:tc>
          <w:tcPr>
            <w:tcW w:w="486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32"/>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9"/>
              </w:rPr>
              <w:t>Shawn Cline Tomasello, MBA</w:t>
            </w:r>
          </w:p>
        </w:tc>
        <w:tc>
          <w:tcPr>
            <w:tcW w:w="120" w:type="dxa"/>
            <w:vAlign w:val="bottom"/>
          </w:tcPr>
          <w:p>
            <w:pPr>
              <w:spacing w:after="0"/>
              <w:rPr>
                <w:sz w:val="20"/>
                <w:szCs w:val="20"/>
                <w:color w:val="auto"/>
              </w:rPr>
            </w:pPr>
          </w:p>
        </w:tc>
        <w:tc>
          <w:tcPr>
            <w:tcW w:w="4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27305</wp:posOffset>
            </wp:positionV>
            <wp:extent cx="15411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448" w:lineRule="exact"/>
        <w:rPr>
          <w:sz w:val="20"/>
          <w:szCs w:val="20"/>
          <w:color w:val="auto"/>
        </w:rPr>
      </w:pPr>
    </w:p>
    <w:p>
      <w:pPr>
        <w:sectPr>
          <w:pgSz w:w="11900" w:h="16838" w:orient="portrait"/>
          <w:cols w:equalWidth="0" w:num="2">
            <w:col w:w="8700" w:space="180"/>
            <w:col w:w="2360"/>
          </w:cols>
          <w:pgMar w:left="320" w:top="332" w:right="339" w:bottom="1440" w:gutter="0" w:footer="0" w:header="0"/>
          <w:type w:val="continuous"/>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32" w:name="page133"/>
    <w:bookmarkEnd w:id="132"/>
    <w:p>
      <w:pPr>
        <w:ind w:right="3160" w:firstLine="3110"/>
        <w:spacing w:after="0" w:line="4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4D Molecular Therapeutics, Inc.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balance sheets of 4D Molecular Therapeutics, Inc. (the “Company”) as of December 31, 2022 and 2021, and the related statements of operations, of comprehensive loss, of stockholders’ equity and of cash flows for the years then ended, including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15,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3" w:name="page134"/>
    <w:bookmarkEnd w:id="133"/>
    <w:p>
      <w:pPr>
        <w:ind w:left="426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Balance Sheets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52,351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161,203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 (includes $0 and $285 at December 31, 2022</w:t>
            </w:r>
          </w:p>
        </w:tc>
        <w:tc>
          <w:tcPr>
            <w:tcW w:w="3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6,957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80"/>
              <w:spacing w:after="0" w:line="203" w:lineRule="exact"/>
              <w:rPr>
                <w:sz w:val="20"/>
                <w:szCs w:val="20"/>
                <w:color w:val="auto"/>
              </w:rPr>
            </w:pPr>
            <w:r>
              <w:rPr>
                <w:rFonts w:ascii="Arial" w:cs="Arial" w:eastAsia="Arial" w:hAnsi="Arial"/>
                <w:sz w:val="18"/>
                <w:szCs w:val="18"/>
                <w:color w:val="auto"/>
              </w:rPr>
              <w:t>and 2021, respectively, attributable to related parties)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220,511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Marketable securities, long-term</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13,085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261,846</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Accrued and other current liabilities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8,870</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1,076</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Derivative liability</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 long-term portion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13,469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30,509</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Preferred stock, $0.0001 par value, 10,000,000 shares authorized at December 31, 2022</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and 2021; no shares issued and outstanding at December 31, 2022 and 2021</w:t>
            </w:r>
          </w:p>
        </w:tc>
        <w:tc>
          <w:tcPr>
            <w:tcW w:w="3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80" w:type="dxa"/>
            <w:vAlign w:val="bottom"/>
          </w:tcPr>
          <w:p>
            <w:pPr>
              <w:ind w:left="280"/>
              <w:spacing w:after="0"/>
              <w:rPr>
                <w:sz w:val="20"/>
                <w:szCs w:val="20"/>
                <w:color w:val="auto"/>
              </w:rPr>
            </w:pPr>
            <w:r>
              <w:rPr>
                <w:rFonts w:ascii="Arial" w:cs="Arial" w:eastAsia="Arial" w:hAnsi="Arial"/>
                <w:sz w:val="18"/>
                <w:szCs w:val="18"/>
                <w:color w:val="auto"/>
              </w:rPr>
              <w:t>Common stock, $0.0001 par value, 300,000,000 shares authorized at December 31, 2022</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tcPr>
          <w:p>
            <w:pPr>
              <w:ind w:left="280"/>
              <w:spacing w:after="0" w:line="202" w:lineRule="exact"/>
              <w:rPr>
                <w:sz w:val="20"/>
                <w:szCs w:val="20"/>
                <w:color w:val="auto"/>
              </w:rPr>
            </w:pPr>
            <w:r>
              <w:rPr>
                <w:rFonts w:ascii="Arial" w:cs="Arial" w:eastAsia="Arial" w:hAnsi="Arial"/>
                <w:sz w:val="18"/>
                <w:szCs w:val="18"/>
                <w:color w:val="auto"/>
              </w:rPr>
              <w:t>and 2021; 32,626,627 and 32,224,524 shares issued and outstanding at December 31,</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80" w:type="dxa"/>
            <w:vAlign w:val="bottom"/>
          </w:tcPr>
          <w:p>
            <w:pPr>
              <w:ind w:left="280"/>
              <w:spacing w:after="0"/>
              <w:rPr>
                <w:sz w:val="20"/>
                <w:szCs w:val="20"/>
                <w:color w:val="auto"/>
              </w:rPr>
            </w:pPr>
            <w:r>
              <w:rPr>
                <w:rFonts w:ascii="Arial" w:cs="Arial" w:eastAsia="Arial" w:hAnsi="Arial"/>
                <w:sz w:val="18"/>
                <w:szCs w:val="18"/>
                <w:color w:val="auto"/>
              </w:rPr>
              <w:t>2022 and 2021, respectively</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547,020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526,523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(1,196 )</w:t>
            </w:r>
          </w:p>
        </w:tc>
        <w:tc>
          <w:tcPr>
            <w:tcW w:w="5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(423 )</w:t>
            </w: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(314,490 )</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(206,996 )</w:t>
            </w:r>
          </w:p>
        </w:tc>
        <w:tc>
          <w:tcPr>
            <w:tcW w:w="0" w:type="dxa"/>
            <w:vAlign w:val="bottom"/>
          </w:tcPr>
          <w:p>
            <w:pPr>
              <w:spacing w:after="0"/>
              <w:rPr>
                <w:sz w:val="1"/>
                <w:szCs w:val="1"/>
                <w:color w:val="auto"/>
              </w:rPr>
            </w:pP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231,337</w:t>
            </w:r>
          </w:p>
        </w:tc>
        <w:tc>
          <w:tcPr>
            <w:tcW w:w="280" w:type="dxa"/>
            <w:vAlign w:val="bottom"/>
            <w:tcBorders>
              <w:top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319,107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261,846</w:t>
            </w:r>
          </w:p>
        </w:tc>
        <w:tc>
          <w:tcPr>
            <w:tcW w:w="2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353,487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-3689985</wp:posOffset>
            </wp:positionV>
            <wp:extent cx="68580" cy="1797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-3689985</wp:posOffset>
            </wp:positionV>
            <wp:extent cx="6858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-1899920</wp:posOffset>
            </wp:positionV>
            <wp:extent cx="6858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-1899920</wp:posOffset>
            </wp:positionV>
            <wp:extent cx="685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-333375</wp:posOffset>
            </wp:positionV>
            <wp:extent cx="685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4" w:name="page135"/>
    <w:bookmarkEnd w:id="134"/>
    <w:p>
      <w:pPr>
        <w:ind w:left="426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Statements of Operations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Collaboration and license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80"/>
              <w:spacing w:after="0"/>
              <w:rPr>
                <w:sz w:val="20"/>
                <w:szCs w:val="20"/>
                <w:color w:val="auto"/>
              </w:rPr>
            </w:pPr>
            <w:r>
              <w:rPr>
                <w:rFonts w:ascii="Arial" w:cs="Arial" w:eastAsia="Arial" w:hAnsi="Arial"/>
                <w:sz w:val="18"/>
                <w:szCs w:val="18"/>
                <w:color w:val="auto"/>
              </w:rPr>
              <w:t>Research and development (includes $306 and $935 for the years ended December 31,</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80" w:type="dxa"/>
            <w:vAlign w:val="bottom"/>
          </w:tcPr>
          <w:p>
            <w:pPr>
              <w:ind w:left="280"/>
              <w:spacing w:after="0"/>
              <w:rPr>
                <w:sz w:val="20"/>
                <w:szCs w:val="20"/>
                <w:color w:val="auto"/>
              </w:rPr>
            </w:pPr>
            <w:r>
              <w:rPr>
                <w:rFonts w:ascii="Arial" w:cs="Arial" w:eastAsia="Arial" w:hAnsi="Arial"/>
                <w:sz w:val="18"/>
                <w:szCs w:val="18"/>
                <w:color w:val="auto"/>
              </w:rPr>
              <w:t>2022 and 2021, respectively, attributable to related parties)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80,253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(110,032 )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(71,333 )</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(107,494 )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(71,317 )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195"/>
        </w:trPr>
        <w:tc>
          <w:tcPr>
            <w:tcW w:w="7680" w:type="dxa"/>
            <w:vAlign w:val="bottom"/>
            <w:tcBorders>
              <w:top w:val="single" w:sz="8" w:color="CFF0FC"/>
            </w:tcBorders>
          </w:tcPr>
          <w:p>
            <w:pPr>
              <w:ind w:left="20"/>
              <w:spacing w:after="0" w:line="195" w:lineRule="exact"/>
              <w:rPr>
                <w:sz w:val="20"/>
                <w:szCs w:val="20"/>
                <w:color w:val="auto"/>
              </w:rPr>
            </w:pPr>
            <w:r>
              <w:rPr>
                <w:rFonts w:ascii="Arial" w:cs="Arial" w:eastAsia="Arial" w:hAnsi="Arial"/>
                <w:sz w:val="18"/>
                <w:szCs w:val="18"/>
                <w:color w:val="auto"/>
              </w:rPr>
              <w:t>Weighted-average shares outstanding used in computing net loss per share, basic and</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32,351,221</w:t>
            </w:r>
          </w:p>
        </w:tc>
        <w:tc>
          <w:tcPr>
            <w:tcW w:w="28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27,730,420</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
              <w:spacing w:after="0" w:line="17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-1523365</wp:posOffset>
            </wp:positionV>
            <wp:extent cx="68580" cy="162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-624205</wp:posOffset>
            </wp:positionV>
            <wp:extent cx="68580"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-299085</wp:posOffset>
            </wp:positionV>
            <wp:extent cx="1250315" cy="2997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6">
                      <a:extLst>
                        <a:ext uri="{28A0092B-C50C-407E-A947-70E740481C1C}"/>
                      </a:extLst>
                    </a:blip>
                    <a:srcRect/>
                    <a:stretch>
                      <a:fillRect/>
                    </a:stretch>
                  </pic:blipFill>
                  <pic:spPr bwMode="auto">
                    <a:xfrm>
                      <a:off x="0" y="0"/>
                      <a:ext cx="1250315" cy="29972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5" w:name="page136"/>
    <w:bookmarkEnd w:id="135"/>
    <w:p>
      <w:pPr>
        <w:ind w:left="426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Statements of Comprehensive Loss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6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(107,494 )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(71,317 )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unrealized loss on marketable securities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(773 )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(108,267 )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(71,740 )</w:t>
            </w: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-478790</wp:posOffset>
            </wp:positionV>
            <wp:extent cx="6858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6" w:name="page137"/>
    <w:bookmarkEnd w:id="136"/>
    <w:p>
      <w:pPr>
        <w:ind w:left="4260"/>
        <w:spacing w:after="0"/>
        <w:rPr>
          <w:sz w:val="20"/>
          <w:szCs w:val="20"/>
          <w:color w:val="auto"/>
        </w:rPr>
      </w:pPr>
      <w:r>
        <w:rPr>
          <w:rFonts w:ascii="Arial" w:cs="Arial" w:eastAsia="Arial" w:hAnsi="Arial"/>
          <w:sz w:val="18"/>
          <w:szCs w:val="18"/>
          <w:b w:val="1"/>
          <w:bCs w:val="1"/>
          <w:color w:val="auto"/>
        </w:rPr>
        <w:t>4D Molecular Therapeutics, Inc.</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Statements of Stockholders’ Equity</w:t>
      </w:r>
    </w:p>
    <w:p>
      <w:pPr>
        <w:ind w:left="3980"/>
        <w:spacing w:after="0"/>
        <w:rPr>
          <w:sz w:val="20"/>
          <w:szCs w:val="20"/>
          <w:color w:val="auto"/>
        </w:rPr>
      </w:pPr>
      <w:r>
        <w:rPr>
          <w:rFonts w:ascii="Arial" w:cs="Arial" w:eastAsia="Arial" w:hAnsi="Arial"/>
          <w:sz w:val="18"/>
          <w:szCs w:val="18"/>
          <w:b w:val="1"/>
          <w:bCs w:val="1"/>
          <w:color w:val="auto"/>
        </w:rPr>
        <w:t>(In thousands, except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58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24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960" w:type="dxa"/>
            <w:vAlign w:val="bottom"/>
          </w:tcPr>
          <w:p>
            <w:pPr>
              <w:spacing w:after="0"/>
              <w:rPr>
                <w:sz w:val="15"/>
                <w:szCs w:val="15"/>
                <w:color w:val="auto"/>
              </w:rPr>
            </w:pPr>
          </w:p>
        </w:tc>
        <w:tc>
          <w:tcPr>
            <w:tcW w:w="258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1280" w:type="dxa"/>
            <w:vAlign w:val="bottom"/>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9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Balances at December 31,</w:t>
            </w:r>
          </w:p>
        </w:tc>
        <w:tc>
          <w:tcPr>
            <w:tcW w:w="1280" w:type="dxa"/>
            <w:vAlign w:val="bottom"/>
            <w:tcBorders>
              <w:top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2020</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26,681,983</w:t>
            </w:r>
          </w:p>
        </w:tc>
        <w:tc>
          <w:tcPr>
            <w:tcW w:w="130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4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392,063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(135,679 )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256,387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4"/>
                <w:szCs w:val="14"/>
                <w:color w:val="auto"/>
              </w:rPr>
              <w:t>upon exercise of stock</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options and warrants</w:t>
            </w:r>
          </w:p>
        </w:tc>
        <w:tc>
          <w:tcPr>
            <w:tcW w:w="1280" w:type="dxa"/>
            <w:vAlign w:val="bottom"/>
          </w:tcPr>
          <w:p>
            <w:pPr>
              <w:jc w:val="right"/>
              <w:spacing w:after="0"/>
              <w:rPr>
                <w:sz w:val="20"/>
                <w:szCs w:val="20"/>
                <w:color w:val="auto"/>
              </w:rPr>
            </w:pPr>
            <w:r>
              <w:rPr>
                <w:rFonts w:ascii="Arial" w:cs="Arial" w:eastAsia="Arial" w:hAnsi="Arial"/>
                <w:sz w:val="14"/>
                <w:szCs w:val="14"/>
                <w:color w:val="auto"/>
              </w:rPr>
              <w:t>646,417</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3,905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upon offerings, net of</w:t>
            </w: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$7,660 issuance cost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4,875,715</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115,090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warrant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expense</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Issuance of common stock -</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2020 ESPP</w:t>
            </w:r>
          </w:p>
        </w:tc>
        <w:tc>
          <w:tcPr>
            <w:tcW w:w="1280" w:type="dxa"/>
            <w:vAlign w:val="bottom"/>
          </w:tcPr>
          <w:p>
            <w:pPr>
              <w:jc w:val="right"/>
              <w:spacing w:after="0"/>
              <w:rPr>
                <w:sz w:val="20"/>
                <w:szCs w:val="20"/>
                <w:color w:val="auto"/>
              </w:rPr>
            </w:pPr>
            <w:r>
              <w:rPr>
                <w:rFonts w:ascii="Arial" w:cs="Arial" w:eastAsia="Arial" w:hAnsi="Arial"/>
                <w:sz w:val="14"/>
                <w:szCs w:val="14"/>
                <w:color w:val="auto"/>
              </w:rPr>
              <w:t>20,409</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common stock</w:t>
            </w: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warrants issued for services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Net unrealized loss on</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(423 )</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(423 )</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(71,317 )</w:t>
            </w:r>
          </w:p>
        </w:tc>
        <w:tc>
          <w:tcPr>
            <w:tcW w:w="1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(71,317 )</w:t>
            </w:r>
          </w:p>
        </w:tc>
        <w:tc>
          <w:tcPr>
            <w:tcW w:w="0" w:type="dxa"/>
            <w:vAlign w:val="bottom"/>
          </w:tcPr>
          <w:p>
            <w:pPr>
              <w:spacing w:after="0"/>
              <w:rPr>
                <w:sz w:val="1"/>
                <w:szCs w:val="1"/>
                <w:color w:val="auto"/>
              </w:rPr>
            </w:pPr>
          </w:p>
        </w:tc>
      </w:tr>
      <w:tr>
        <w:trPr>
          <w:trHeight w:val="20"/>
        </w:trPr>
        <w:tc>
          <w:tcPr>
            <w:tcW w:w="19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Balances at December 31,</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32,224,524</w:t>
            </w:r>
          </w:p>
        </w:tc>
        <w:tc>
          <w:tcPr>
            <w:tcW w:w="260" w:type="dxa"/>
            <w:vAlign w:val="bottom"/>
            <w:vMerge w:val="restart"/>
          </w:tcPr>
          <w:p>
            <w:pPr>
              <w:spacing w:after="0"/>
              <w:rPr>
                <w:sz w:val="13"/>
                <w:szCs w:val="13"/>
                <w:color w:val="auto"/>
              </w:rPr>
            </w:pPr>
          </w:p>
        </w:tc>
        <w:tc>
          <w:tcPr>
            <w:tcW w:w="1040" w:type="dxa"/>
            <w:vAlign w:val="bottom"/>
            <w:vMerge w:val="restart"/>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80" w:type="dxa"/>
            <w:vAlign w:val="bottom"/>
            <w:vMerge w:val="restart"/>
          </w:tcPr>
          <w:p>
            <w:pPr>
              <w:spacing w:after="0"/>
              <w:rPr>
                <w:sz w:val="13"/>
                <w:szCs w:val="13"/>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526,523</w:t>
            </w:r>
          </w:p>
        </w:tc>
        <w:tc>
          <w:tcPr>
            <w:tcW w:w="24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(423 )</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(206,996 )</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319,107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60" w:type="dxa"/>
            <w:vAlign w:val="bottom"/>
          </w:tcPr>
          <w:p>
            <w:pPr>
              <w:ind w:left="20"/>
              <w:spacing w:after="0" w:line="128" w:lineRule="exact"/>
              <w:rPr>
                <w:sz w:val="20"/>
                <w:szCs w:val="20"/>
                <w:color w:val="auto"/>
              </w:rPr>
            </w:pPr>
            <w:r>
              <w:rPr>
                <w:rFonts w:ascii="Arial" w:cs="Arial" w:eastAsia="Arial" w:hAnsi="Arial"/>
                <w:sz w:val="14"/>
                <w:szCs w:val="14"/>
                <w:b w:val="1"/>
                <w:bCs w:val="1"/>
                <w:color w:val="auto"/>
              </w:rPr>
              <w:t>2021</w:t>
            </w:r>
          </w:p>
        </w:tc>
        <w:tc>
          <w:tcPr>
            <w:tcW w:w="12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w:t>
            </w:r>
          </w:p>
        </w:tc>
        <w:tc>
          <w:tcPr>
            <w:tcW w:w="1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upon exercise of stock</w:t>
            </w: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options and warrants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291,629</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expense</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w:t>
            </w: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2020 ESPP</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110,474</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Vesting of common stock</w:t>
            </w: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ind w:left="20"/>
              <w:spacing w:after="0"/>
              <w:rPr>
                <w:sz w:val="20"/>
                <w:szCs w:val="20"/>
                <w:color w:val="auto"/>
              </w:rPr>
            </w:pPr>
            <w:r>
              <w:rPr>
                <w:rFonts w:ascii="Arial" w:cs="Arial" w:eastAsia="Arial" w:hAnsi="Arial"/>
                <w:sz w:val="14"/>
                <w:szCs w:val="14"/>
                <w:color w:val="auto"/>
              </w:rPr>
              <w:t>warrants issued for services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loss on</w:t>
            </w:r>
          </w:p>
        </w:tc>
        <w:tc>
          <w:tcPr>
            <w:tcW w:w="1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marketable securities</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(773 )</w:t>
            </w:r>
          </w:p>
        </w:tc>
        <w:tc>
          <w:tcPr>
            <w:tcW w:w="1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(773 )</w:t>
            </w:r>
          </w:p>
        </w:tc>
        <w:tc>
          <w:tcPr>
            <w:tcW w:w="0" w:type="dxa"/>
            <w:vAlign w:val="bottom"/>
          </w:tcPr>
          <w:p>
            <w:pPr>
              <w:spacing w:after="0"/>
              <w:rPr>
                <w:sz w:val="1"/>
                <w:szCs w:val="1"/>
                <w:color w:val="auto"/>
              </w:rPr>
            </w:pPr>
          </w:p>
        </w:tc>
      </w:tr>
      <w:tr>
        <w:trPr>
          <w:trHeight w:val="189"/>
        </w:trPr>
        <w:tc>
          <w:tcPr>
            <w:tcW w:w="19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(107,494 )</w:t>
            </w:r>
          </w:p>
        </w:tc>
        <w:tc>
          <w:tcPr>
            <w:tcW w:w="160" w:type="dxa"/>
            <w:vAlign w:val="bottom"/>
          </w:tcPr>
          <w:p>
            <w:pPr>
              <w:spacing w:after="0"/>
              <w:rPr>
                <w:sz w:val="16"/>
                <w:szCs w:val="16"/>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(107,494 )</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9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Balances at December 31,</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32,626,627</w:t>
            </w:r>
          </w:p>
        </w:tc>
        <w:tc>
          <w:tcPr>
            <w:tcW w:w="260" w:type="dxa"/>
            <w:vAlign w:val="bottom"/>
            <w:vMerge w:val="restart"/>
            <w:shd w:val="clear" w:color="auto" w:fill="CFF0FC"/>
          </w:tcPr>
          <w:p>
            <w:pPr>
              <w:spacing w:after="0"/>
              <w:rPr>
                <w:sz w:val="13"/>
                <w:szCs w:val="13"/>
                <w:color w:val="auto"/>
              </w:rPr>
            </w:pPr>
          </w:p>
        </w:tc>
        <w:tc>
          <w:tcPr>
            <w:tcW w:w="1040" w:type="dxa"/>
            <w:vAlign w:val="bottom"/>
            <w:vMerge w:val="restart"/>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80" w:type="dxa"/>
            <w:vAlign w:val="bottom"/>
            <w:vMerge w:val="restart"/>
            <w:shd w:val="clear" w:color="auto" w:fill="CFF0FC"/>
          </w:tcPr>
          <w:p>
            <w:pPr>
              <w:spacing w:after="0"/>
              <w:rPr>
                <w:sz w:val="13"/>
                <w:szCs w:val="13"/>
                <w:color w:val="auto"/>
              </w:rPr>
            </w:pP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547,020</w:t>
            </w:r>
          </w:p>
        </w:tc>
        <w:tc>
          <w:tcPr>
            <w:tcW w:w="240" w:type="dxa"/>
            <w:vAlign w:val="bottom"/>
            <w:vMerge w:val="restart"/>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(1,196 )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(314,490 )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231,337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960" w:type="dxa"/>
            <w:vAlign w:val="bottom"/>
            <w:shd w:val="clear" w:color="auto" w:fill="CFF0FC"/>
          </w:tcPr>
          <w:p>
            <w:pPr>
              <w:ind w:left="20"/>
              <w:spacing w:after="0" w:line="128" w:lineRule="exact"/>
              <w:rPr>
                <w:sz w:val="20"/>
                <w:szCs w:val="20"/>
                <w:color w:val="auto"/>
              </w:rPr>
            </w:pPr>
            <w:r>
              <w:rPr>
                <w:rFonts w:ascii="Arial" w:cs="Arial" w:eastAsia="Arial" w:hAnsi="Arial"/>
                <w:sz w:val="14"/>
                <w:szCs w:val="14"/>
                <w:b w:val="1"/>
                <w:bCs w:val="1"/>
                <w:color w:val="auto"/>
              </w:rPr>
              <w:t>2022</w:t>
            </w:r>
          </w:p>
        </w:tc>
        <w:tc>
          <w:tcPr>
            <w:tcW w:w="128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-1797685</wp:posOffset>
            </wp:positionV>
            <wp:extent cx="76835" cy="2311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3">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-1797685</wp:posOffset>
            </wp:positionV>
            <wp:extent cx="76835" cy="2311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6835" cy="23114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-1797685</wp:posOffset>
            </wp:positionV>
            <wp:extent cx="68580" cy="2311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-1797685</wp:posOffset>
            </wp:positionV>
            <wp:extent cx="68580" cy="2311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-1797685</wp:posOffset>
            </wp:positionV>
            <wp:extent cx="68580" cy="2311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-1797685</wp:posOffset>
            </wp:positionV>
            <wp:extent cx="68580" cy="2311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-24765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-24765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-7620</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7" w:name="page138"/>
    <w:bookmarkEnd w:id="137"/>
    <w:p>
      <w:pPr>
        <w:ind w:left="428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68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(107,494 )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(71,317 )</w:t>
            </w: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17,121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Vesting of common stock warrants in return for services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Amortization of right-of-use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amortization (accretion) of premium (discount) on marketable securities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(4,225 )</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(1,638 )</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and other liabilities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(3,130 )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(14,722 )</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(324 )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(86,685 )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(69,134 )</w:t>
            </w: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(11,536 )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(9,110 )</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Purchase of marketable securities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(153,313 )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(168,570 )</w:t>
            </w: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Maturities of marketable securities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147,799</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23"/>
        </w:trPr>
        <w:tc>
          <w:tcPr>
            <w:tcW w:w="76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(17,050 )</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(172,680 )</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upon offerings, net of issuance costs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114,296</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Issuance of common stock upon exercise of stock options and warrants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through 2020 ESPP</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Payment of offering costs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(468 )</w:t>
            </w:r>
          </w:p>
        </w:tc>
        <w:tc>
          <w:tcPr>
            <w:tcW w:w="3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520"/>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(100,650 )</w:t>
            </w: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(123,725 )</w:t>
            </w: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153,001</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7680" w:type="dxa"/>
            <w:vAlign w:val="bottom"/>
            <w:shd w:val="clear" w:color="auto" w:fill="CFF0FC"/>
          </w:tcPr>
          <w:p>
            <w:pPr>
              <w:ind w:left="20"/>
              <w:spacing w:after="0" w:line="173" w:lineRule="exact"/>
              <w:rPr>
                <w:sz w:val="20"/>
                <w:szCs w:val="20"/>
                <w:color w:val="auto"/>
              </w:rPr>
            </w:pPr>
            <w:r>
              <w:rPr>
                <w:rFonts w:ascii="Arial" w:cs="Arial" w:eastAsia="Arial" w:hAnsi="Arial"/>
                <w:sz w:val="18"/>
                <w:szCs w:val="18"/>
                <w:b w:val="1"/>
                <w:bCs w:val="1"/>
                <w:color w:val="auto"/>
              </w:rPr>
              <w:t>Supplemental disclosures of noncash investing and financing</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9"/>
        </w:trPr>
        <w:tc>
          <w:tcPr>
            <w:tcW w:w="768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information</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5"/>
        </w:trPr>
        <w:tc>
          <w:tcPr>
            <w:tcW w:w="7680" w:type="dxa"/>
            <w:vAlign w:val="bottom"/>
          </w:tcPr>
          <w:p>
            <w:pPr>
              <w:ind w:left="280"/>
              <w:spacing w:after="0"/>
              <w:rPr>
                <w:sz w:val="20"/>
                <w:szCs w:val="20"/>
                <w:color w:val="auto"/>
              </w:rPr>
            </w:pPr>
            <w:r>
              <w:rPr>
                <w:rFonts w:ascii="Arial" w:cs="Arial" w:eastAsia="Arial" w:hAnsi="Arial"/>
                <w:sz w:val="18"/>
                <w:szCs w:val="18"/>
                <w:color w:val="auto"/>
              </w:rPr>
              <w:t>Purchases of property and equipment in accounts payable and accrued and other</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80" w:type="dxa"/>
            <w:vAlign w:val="bottom"/>
          </w:tcPr>
          <w:p>
            <w:pPr>
              <w:ind w:left="280"/>
              <w:spacing w:after="0"/>
              <w:rPr>
                <w:sz w:val="20"/>
                <w:szCs w:val="20"/>
                <w:color w:val="auto"/>
              </w:rPr>
            </w:pPr>
            <w:r>
              <w:rPr>
                <w:rFonts w:ascii="Arial" w:cs="Arial" w:eastAsia="Arial" w:hAnsi="Arial"/>
                <w:sz w:val="18"/>
                <w:szCs w:val="18"/>
                <w:color w:val="auto"/>
              </w:rPr>
              <w:t>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8"/>
                <w:szCs w:val="18"/>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Receivable for common stock issued upon exercise of stock options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Unpaid offering costs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r>
      <w:tr>
        <w:trPr>
          <w:trHeight w:val="215"/>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Decrease in right-of-use assets due to reduction in operating lease liabilities upon</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7"/>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modification</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(478 )</w:t>
            </w: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Issuance of common stock warrant to settle liability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-3510280</wp:posOffset>
            </wp:positionV>
            <wp:extent cx="685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-3510280</wp:posOffset>
            </wp:positionV>
            <wp:extent cx="6858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-1737360</wp:posOffset>
            </wp:positionV>
            <wp:extent cx="6858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-1437640</wp:posOffset>
            </wp:positionV>
            <wp:extent cx="6858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38" w:name="page139"/>
    <w:bookmarkEnd w:id="138"/>
    <w:p>
      <w:pPr>
        <w:ind w:left="4260"/>
        <w:spacing w:after="0"/>
        <w:rPr>
          <w:sz w:val="20"/>
          <w:szCs w:val="20"/>
          <w:color w:val="auto"/>
        </w:rPr>
      </w:pPr>
      <w:r>
        <w:rPr>
          <w:rFonts w:ascii="Arial" w:cs="Arial" w:eastAsia="Arial" w:hAnsi="Arial"/>
          <w:sz w:val="18"/>
          <w:szCs w:val="18"/>
          <w:b w:val="1"/>
          <w:bCs w:val="1"/>
          <w:color w:val="auto"/>
        </w:rPr>
        <w:t>4D Molecular Therapeutics, Inc.</w:t>
      </w:r>
    </w:p>
    <w:p>
      <w:pPr>
        <w:spacing w:after="0" w:line="10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Notes to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The Company</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4D Molecular Therapeutics, Inc. (the “Company”) was formed as a limited liability company in September 2013 under the name 4D Molecular Therapeutics, LLC. The Company changed its name and converted into a corporation which was incorporated in the state of Delaware in March 2015. The Company is a clinical-stage biotherapeutics company harnessing the power of directed evolution for targeted genetic medicines.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December 2020, the Company sold and issued 9,660,000 shares of common stock at a price to the public of $23.00 per share, which included shares sold upon the underwriters’ exercise of their overallotment option to purchase 1,260,000 additional shares. The Company received an aggregate of $204.7 million in net proceeds, after deducting underwriting discounts and commissions and offering costs.</w:t>
      </w:r>
    </w:p>
    <w:p>
      <w:pPr>
        <w:spacing w:after="0" w:line="204"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Upon the closing of the Company's initial public offering in December 2020 (the "IPO"), all outstanding shares of redeemable convertible preferred stock automatically converted into 11,575,984 shares of common stock. Subsequent to the closing of the IPO, there were no shares of redeemable convertible preferred stock outstanding.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 On Public Offering</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November 2021, the Company completed its second underwritten public offering ("Follow-on Offering") in which 4,750,000 shares of the Company's common stock were sold at an offering price of $25.00 per share pursuant to an effective Registration Statement on Form S-1. The net proceeds from the Follow-on Offering were $111.1 million, after deducting underwriting discounts and commissions and offering expenses.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The Company has incurred significant losses and negative cash flows from operations and had an accumulated deficit of $314.5 million as of December 31, 2022. The Company believes that its cash and cash equivalents and marketable securities as of December 31, 2022 are sufficient for the Company to fund planned operations for at least one year from the issuance date of these financial statements for the year ended December 31, 2022. The Company has historically financed its operations primarily through the sale of equity securities, and to a lesser extent, from cash received pursuant to its collaboration and license agreements. To date, none of the Company’s product candidates have been approved for sale, and therefore, the Company has not generated any revenue from product sales. Management expects operating losses and negative cash flows from operations to continue for the foreseeable future. The Company plans to raise additional funding as required based on the status of its clinical trials and projected cash flows. There can be no assurance that, in the event the Company requires additional financing, such financing will be available on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288" w:lineRule="exact"/>
        <w:rPr>
          <w:sz w:val="20"/>
          <w:szCs w:val="20"/>
          <w:color w:val="auto"/>
        </w:rPr>
      </w:pPr>
    </w:p>
    <w:p>
      <w:pPr>
        <w:ind w:right="7200" w:firstLine="58"/>
        <w:spacing w:after="0" w:line="372" w:lineRule="auto"/>
        <w:tabs>
          <w:tab w:leader="none" w:pos="25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b w:val="1"/>
          <w:bCs w:val="1"/>
          <w:color w:val="auto"/>
        </w:rPr>
        <w:t>Basis of Presentation</w:t>
      </w:r>
    </w:p>
    <w:p>
      <w:pPr>
        <w:spacing w:after="0" w:line="1" w:lineRule="exact"/>
        <w:rPr>
          <w:sz w:val="20"/>
          <w:szCs w:val="20"/>
          <w:color w:val="auto"/>
        </w:rPr>
      </w:pPr>
    </w:p>
    <w:p>
      <w:pPr>
        <w:ind w:firstLine="637"/>
        <w:spacing w:after="0" w:line="245" w:lineRule="auto"/>
        <w:rPr>
          <w:sz w:val="20"/>
          <w:szCs w:val="20"/>
          <w:color w:val="auto"/>
        </w:rPr>
      </w:pPr>
      <w:r>
        <w:rPr>
          <w:rFonts w:ascii="Arial" w:cs="Arial" w:eastAsia="Arial" w:hAnsi="Arial"/>
          <w:sz w:val="18"/>
          <w:szCs w:val="18"/>
          <w:color w:val="auto"/>
        </w:rPr>
        <w:t>The accompanying financial statements have been prepared in accordance with United States Generally Accepted Accounting Principles (“U.S. GAAP”).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Use of Estimates and Judgements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judgements that affect the reported amounts of assets, liabilities, revenue and expenses; and disclosure of contingent assets and liabilities as of the date of the financial statements. Such estimates include the determination of useful lives for property and equipment, the contract term, transaction price and costs of collaboration agreements, as well as estimates of the fair value of common stock (prior to the IPO), stock options and derivative instruments and income tax uncertainties. Actual results could differ from those estimates.</w:t>
      </w:r>
    </w:p>
    <w:p>
      <w:pPr>
        <w:spacing w:after="0" w:line="20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Due to the coronavirus (“COVID-19”) pandemic,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December 31, 2022. While there was not a material impact to the Company’s financial statements as of December 31, 2022, these estimates may change, as new events occur and additional information is obtained, as well as other factors related to the COVID-19 pandemic that could result in material impacts to the financial statements in future reporting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5"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The Company operates and manages its business as one reportable and operating segment. The Company’s chief executive officer, who is the chief operating decision maker, reviews financial information on a company-wide basis for purposes of allocating resources and assessing financial performance.</w:t>
      </w:r>
    </w:p>
    <w:p>
      <w:pPr>
        <w:spacing w:after="0" w:line="202"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of and for the years ended December 31, 2022 and 2021, all of the Company’s long-lived assets were located in the United States and all revenue was earned in the United States.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marketable securities and accounts receivable. The Company’s cash is held at two financial institutions in the United States of America. The Company’s cash equivalents are invested in money market funds. The Company also invests in U.S. Treasuries, U.S. government sponsored agencies, commercial paper and corporate bonds. The Company has not experienced any losses on its deposits of cash and cash equivalents. Such deposits may, at times, exceed federally insured limits.</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Company’s partners in collaboration and license agreements who represent 10% or more of the Company’s total revenue are as</w:t>
      </w:r>
    </w:p>
    <w:p>
      <w:pPr>
        <w:spacing w:after="0"/>
        <w:rPr>
          <w:sz w:val="20"/>
          <w:szCs w:val="20"/>
          <w:color w:val="auto"/>
        </w:rPr>
      </w:pPr>
      <w:r>
        <w:rPr>
          <w:rFonts w:ascii="Arial" w:cs="Arial" w:eastAsia="Arial" w:hAnsi="Arial"/>
          <w:sz w:val="18"/>
          <w:szCs w:val="18"/>
          <w:color w:val="auto"/>
        </w:rPr>
        <w:t>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35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74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8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9"/>
              </w:rPr>
              <w:t>95%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99%</w:t>
            </w:r>
          </w:p>
        </w:tc>
        <w:tc>
          <w:tcPr>
            <w:tcW w:w="18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63"/>
        </w:trPr>
        <w:tc>
          <w:tcPr>
            <w:tcW w:w="7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99%</w:t>
            </w:r>
          </w:p>
        </w:tc>
        <w:tc>
          <w:tcPr>
            <w:tcW w:w="18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2380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Less than 10%</w:t>
      </w:r>
    </w:p>
    <w:p>
      <w:pPr>
        <w:spacing w:after="0" w:line="211"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Company’s partners in collaboration and license agreements who represent 10% or more of the Company’s total accounts receivable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32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140" w:type="dxa"/>
            <w:vAlign w:val="bottom"/>
            <w:tcBorders>
              <w:bottom w:val="single" w:sz="8" w:color="auto"/>
            </w:tcBorders>
          </w:tcPr>
          <w:p>
            <w:pPr>
              <w:jc w:val="center"/>
              <w:ind w:left="456"/>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223"/>
        </w:trPr>
        <w:tc>
          <w:tcPr>
            <w:tcW w:w="3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5660" w:type="dxa"/>
            <w:vAlign w:val="bottom"/>
            <w:gridSpan w:val="2"/>
            <w:shd w:val="clear" w:color="auto" w:fill="CFF0FC"/>
          </w:tcPr>
          <w:p>
            <w:pPr>
              <w:jc w:val="center"/>
              <w:ind w:left="4950"/>
              <w:spacing w:after="0"/>
              <w:rPr>
                <w:sz w:val="20"/>
                <w:szCs w:val="20"/>
                <w:color w:val="auto"/>
              </w:rPr>
            </w:pPr>
            <w:r>
              <w:rPr>
                <w:rFonts w:ascii="Arial" w:cs="Arial" w:eastAsia="Arial" w:hAnsi="Arial"/>
                <w:sz w:val="18"/>
                <w:szCs w:val="18"/>
                <w:color w:val="auto"/>
                <w:w w:val="99"/>
              </w:rPr>
              <w:t>0%</w:t>
            </w:r>
          </w:p>
        </w:tc>
        <w:tc>
          <w:tcPr>
            <w:tcW w:w="2360" w:type="dxa"/>
            <w:vAlign w:val="bottom"/>
            <w:gridSpan w:val="3"/>
            <w:shd w:val="clear" w:color="auto" w:fill="CFF0FC"/>
          </w:tcPr>
          <w:p>
            <w:pPr>
              <w:jc w:val="center"/>
              <w:ind w:left="619"/>
              <w:spacing w:after="0"/>
              <w:rPr>
                <w:sz w:val="20"/>
                <w:szCs w:val="20"/>
                <w:color w:val="auto"/>
              </w:rPr>
            </w:pPr>
            <w:r>
              <w:rPr>
                <w:rFonts w:ascii="Arial" w:cs="Arial" w:eastAsia="Arial" w:hAnsi="Arial"/>
                <w:sz w:val="18"/>
                <w:szCs w:val="18"/>
                <w:color w:val="auto"/>
                <w:w w:val="99"/>
              </w:rPr>
              <w:t>100%</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4520" w:type="dxa"/>
            <w:vAlign w:val="bottom"/>
          </w:tcPr>
          <w:p>
            <w:pPr>
              <w:spacing w:after="0"/>
              <w:rPr>
                <w:sz w:val="19"/>
                <w:szCs w:val="19"/>
                <w:color w:val="auto"/>
              </w:rPr>
            </w:pPr>
          </w:p>
        </w:tc>
        <w:tc>
          <w:tcPr>
            <w:tcW w:w="1140" w:type="dxa"/>
            <w:vAlign w:val="bottom"/>
            <w:tcBorders>
              <w:bottom w:val="single" w:sz="8" w:color="auto"/>
            </w:tcBorders>
          </w:tcPr>
          <w:p>
            <w:pPr>
              <w:jc w:val="center"/>
              <w:ind w:left="436"/>
              <w:spacing w:after="0"/>
              <w:rPr>
                <w:sz w:val="20"/>
                <w:szCs w:val="20"/>
                <w:color w:val="auto"/>
              </w:rPr>
            </w:pPr>
            <w:r>
              <w:rPr>
                <w:rFonts w:ascii="Arial" w:cs="Arial" w:eastAsia="Arial" w:hAnsi="Arial"/>
                <w:sz w:val="18"/>
                <w:szCs w:val="18"/>
                <w:color w:val="auto"/>
                <w:w w:val="99"/>
              </w:rPr>
              <w:t>0%</w:t>
            </w:r>
          </w:p>
        </w:tc>
        <w:tc>
          <w:tcPr>
            <w:tcW w:w="5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r>
        <w:trPr>
          <w:trHeight w:val="263"/>
        </w:trPr>
        <w:tc>
          <w:tcPr>
            <w:tcW w:w="3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45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center"/>
              <w:ind w:left="436"/>
              <w:spacing w:after="0"/>
              <w:rPr>
                <w:sz w:val="20"/>
                <w:szCs w:val="20"/>
                <w:color w:val="auto"/>
              </w:rPr>
            </w:pPr>
            <w:r>
              <w:rPr>
                <w:rFonts w:ascii="Arial" w:cs="Arial" w:eastAsia="Arial" w:hAnsi="Arial"/>
                <w:sz w:val="18"/>
                <w:szCs w:val="18"/>
                <w:color w:val="auto"/>
                <w:w w:val="99"/>
              </w:rPr>
              <w:t>0%</w:t>
            </w:r>
          </w:p>
        </w:tc>
        <w:tc>
          <w:tcPr>
            <w:tcW w:w="5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100%</w:t>
            </w:r>
          </w:p>
        </w:tc>
      </w:tr>
      <w:tr>
        <w:trPr>
          <w:trHeight w:val="628"/>
        </w:trPr>
        <w:tc>
          <w:tcPr>
            <w:tcW w:w="3220" w:type="dxa"/>
            <w:vAlign w:val="bottom"/>
          </w:tcPr>
          <w:p>
            <w:pPr>
              <w:spacing w:after="0"/>
              <w:rPr>
                <w:sz w:val="24"/>
                <w:szCs w:val="24"/>
                <w:color w:val="auto"/>
              </w:rPr>
            </w:pPr>
          </w:p>
        </w:tc>
        <w:tc>
          <w:tcPr>
            <w:tcW w:w="5660" w:type="dxa"/>
            <w:vAlign w:val="bottom"/>
            <w:gridSpan w:val="2"/>
          </w:tcPr>
          <w:p>
            <w:pPr>
              <w:ind w:left="2260"/>
              <w:spacing w:after="0"/>
              <w:rPr>
                <w:sz w:val="20"/>
                <w:szCs w:val="20"/>
                <w:color w:val="auto"/>
              </w:rPr>
            </w:pPr>
            <w:r>
              <w:rPr>
                <w:rFonts w:ascii="Arial" w:cs="Arial" w:eastAsia="Arial" w:hAnsi="Arial"/>
                <w:sz w:val="18"/>
                <w:szCs w:val="18"/>
                <w:color w:val="auto"/>
              </w:rPr>
              <w:t>F-8</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01"/>
        </w:trPr>
        <w:tc>
          <w:tcPr>
            <w:tcW w:w="3220" w:type="dxa"/>
            <w:vAlign w:val="bottom"/>
            <w:tcBorders>
              <w:bottom w:val="single" w:sz="8" w:color="9A9A9A"/>
            </w:tcBorders>
          </w:tcPr>
          <w:p>
            <w:pPr>
              <w:spacing w:after="0"/>
              <w:rPr>
                <w:sz w:val="8"/>
                <w:szCs w:val="8"/>
                <w:color w:val="auto"/>
              </w:rPr>
            </w:pPr>
          </w:p>
        </w:tc>
        <w:tc>
          <w:tcPr>
            <w:tcW w:w="45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-513080</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-495935</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0" w:name="page141"/>
    <w:bookmarkEnd w:id="140"/>
    <w:p>
      <w:pPr>
        <w:ind w:left="660"/>
        <w:spacing w:after="0"/>
        <w:rPr>
          <w:sz w:val="20"/>
          <w:szCs w:val="20"/>
          <w:color w:val="auto"/>
        </w:rPr>
      </w:pPr>
      <w:r>
        <w:rPr>
          <w:rFonts w:ascii="Arial" w:cs="Arial" w:eastAsia="Arial" w:hAnsi="Arial"/>
          <w:sz w:val="18"/>
          <w:szCs w:val="18"/>
          <w:color w:val="auto"/>
        </w:rPr>
        <w:t>The Company’s total revenues by geographic region, based on the location of the customer,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Netherlands</w:t>
            </w:r>
          </w:p>
        </w:tc>
        <w:tc>
          <w:tcPr>
            <w:tcW w:w="102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3,129</w:t>
            </w:r>
          </w:p>
        </w:tc>
        <w:tc>
          <w:tcPr>
            <w:tcW w:w="12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at the date of purchase to be cash equivalents. Cash equivalents consist of money market funds.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Marketable securities consist of commercial paper, corporate bonds, U.S. Treasuries and U.S. government sponsored agencies and are included in current and noncurrent assets. The Company classifies its marketable securities as available-for-sale and carries them at fair value on its balance sheet. Fair value is estimated using independent pricing sources based on quoted prices in active markets for similar securities. Unrealized gains and losses on the marketable securities are reported as a component of stockholders' equity (deficit) in accumulated other comprehensive loss. The amortized cost of marketable securities is adjusted for amortization of premiums and accretion of discounts to maturity, which is included in interest income on the statements of operations. Realized gains and losses are included in interest income on the statements of operations.</w:t>
      </w:r>
    </w:p>
    <w:p>
      <w:pPr>
        <w:spacing w:after="0" w:line="207"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The Company periodically evaluates its marketable securities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suppliers for key raw materials, contract manufacturing organizations (“CMOs”) and contract research organizations (“CROs”),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capital, adequate personnel and infrastructure and extensive compliance and reporting.</w:t>
      </w:r>
    </w:p>
    <w:p>
      <w:pPr>
        <w:spacing w:after="0" w:line="207"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other pharmaceutical and biotechnology companies. In addition, the Company is dependent upon the services of its employees, consultants and other third parties (including for clinical trials and some aspects of research and preclinical testing).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Fair Value Measurements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on the measurement date. As such, fair value is a market-based measurement that should be determined based on assumptions that market participants would use in pricing an asset or liability.</w:t>
      </w:r>
    </w:p>
    <w:p>
      <w:pPr>
        <w:spacing w:after="0" w:line="20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As a basis for considering such assumptions, a three-level fair value hierarchy has been established, which prioritizes the inputs used in measuring fair value as follows:</w:t>
      </w:r>
    </w:p>
    <w:p>
      <w:pPr>
        <w:spacing w:after="0" w:line="72" w:lineRule="exact"/>
        <w:rPr>
          <w:sz w:val="20"/>
          <w:szCs w:val="20"/>
          <w:color w:val="auto"/>
        </w:rPr>
      </w:pPr>
    </w:p>
    <w:p>
      <w:pPr>
        <w:ind w:left="900" w:hanging="256"/>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Observable inputs that reflect unadjusted quoted market prices in active markets for identical assets or liabilities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accessible at the measurement date.</w:t>
      </w:r>
    </w:p>
    <w:p>
      <w:pPr>
        <w:spacing w:after="0" w:line="53" w:lineRule="exact"/>
        <w:rPr>
          <w:rFonts w:ascii="Arial" w:cs="Arial" w:eastAsia="Arial" w:hAnsi="Arial"/>
          <w:sz w:val="18"/>
          <w:szCs w:val="18"/>
          <w:color w:val="auto"/>
        </w:rPr>
      </w:pPr>
    </w:p>
    <w:p>
      <w:pPr>
        <w:jc w:val="both"/>
        <w:ind w:left="900" w:hanging="256"/>
        <w:spacing w:after="0" w:line="250"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quoted prices in markets that are not active; or other inputs that are observable or can be corroborated by observable market data for substantially the full term of the assets or liabilities.</w:t>
      </w:r>
    </w:p>
    <w:p>
      <w:pPr>
        <w:spacing w:after="0" w:line="67" w:lineRule="exact"/>
        <w:rPr>
          <w:rFonts w:ascii="Arial" w:cs="Arial" w:eastAsia="Arial" w:hAnsi="Arial"/>
          <w:sz w:val="18"/>
          <w:szCs w:val="18"/>
          <w:color w:val="auto"/>
        </w:rPr>
      </w:pPr>
    </w:p>
    <w:p>
      <w:pPr>
        <w:ind w:left="900" w:right="20" w:hanging="256"/>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179"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Company accounts for transfers of financial instruments between levels of the fair value hierarchy on the date of the event or change in circumstance that caused the transfer.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Receivable—Allowance for Doubtful Accounts</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regularly reviews accounts receivable for collectability and establishes an allowance for probable credit losses and writes off uncollectible accounts as necessary. The Company has determined that no allowance was required at December 31, 2022 and 2021. The Company did not have any write-offs relating to uncollectible accounts receivable during the years ended December 31, 2022 and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ranging from three to five years. Leasehold improvements are amortized over the shorter of the useful life of the assets or the lease term. Upon sale or retirement of assets, the costs and related accumulated depreciation are removed from the balance sheet and the resulting gain or loss is reflected within operating expenses in the statements of operations. Maintenance and repairs are charged to expense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typically measured by the amount by which the carrying amount of the assets exceeds the projected discounted future net cash flows arising from the asset. There have been no such impairments of long-lived assets in the years ended December 31, 2022 and 2021.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Common Stock Warrants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accounts for common stock warrants which meet the definition of a derivative as liabilities if the warrant requires net cash settlement or gives the holder the option of net cash settlement. The Company accounts for common stock warrants as equity if the contract requires physical settlement or net physical settlement or if the Company has the option of physical settlement or net physical settlement. Common stock warrants classified as liabilities are initially recorded at fair value and remeasured at fair value each balance sheet date with the offset adjustments recorded in other income (expense), net within the statements of operations. Common stock warrants classified as equity are initially measured at fair value on the grant date and are not subsequently remeasured.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On December 31, 2021, the Company adopted Accounting Standards Update (“ASU”) No. 2016-02, Leases (Topic 842), (“ASC 842”) using the alternative modified retrospective approach effective as of January 1, 2021.</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As of January 1, 2021, the Company recognized operating lease right-of-use assets of $16.5 million, and current and noncurrent operating lease liabilities of $2.0 million and $16.1 million, respectively. In connection with the adoption of ASC 842, deferred rent of $1.0 million and lease incentive liability of $0.5 million, which were previously recorded in prepaid expenses and other current assets, accrued and other current liabilities and other liabilities on the balance sheet as of December 31, 2020, were derecognized. The adoption of the standard did not have an impact on the Company's statements of operations or comprehensive loss, stockholders' equity or cash flows.</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As of January 1, 2021, the Company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not to separate lease and non-lease components and not to recognize leases with an initial term of twelve months or less.</w:t>
      </w:r>
    </w:p>
    <w:p>
      <w:pPr>
        <w:spacing w:after="0" w:line="204"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At contract inception, the Company determines if an arrangement is or contains a lease. A contract is or contains a lease if the contract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w:t>
      </w:r>
    </w:p>
    <w:p>
      <w:pPr>
        <w:spacing w:after="0" w:line="20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Operating lease right-of-use assets represent the Company's right to use an underlying asset for the lease term and operating lease liabilities represent the Company's obligation to make payments arising from the lease. Operating right-of-use assets and liabilities are recognized at the commencement date of the lease and are measured at the present value of the fixed payments due over the expected lease term less the present value of any incentives, rebates, or abatements the Company expects to receive from the lessor. The Company records amortization of operating right-of-use assets and accretion of lease liabilities as a single lease cost on a straight-line basis over the lease term. No lease renewal options are recognized as part of the right-of-use assets and lease liabilities.</w:t>
      </w:r>
    </w:p>
    <w:p>
      <w:pPr>
        <w:spacing w:after="0" w:line="206"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Company's operating leases are presented in the balance sheet as operating lease right-of-use assets, classified as noncurrent assets, and operating lease liabilities, classified as current and noncurrent based on the discounted lease payments to be made within the proceeding twelve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43" w:name="page144"/>
    <w:bookmarkEnd w:id="143"/>
    <w:p>
      <w:pPr>
        <w:jc w:val="both"/>
        <w:ind w:firstLine="644"/>
        <w:spacing w:after="0"/>
        <w:rPr>
          <w:sz w:val="20"/>
          <w:szCs w:val="20"/>
          <w:color w:val="auto"/>
        </w:rPr>
      </w:pPr>
      <w:r>
        <w:rPr>
          <w:rFonts w:ascii="Arial" w:cs="Arial" w:eastAsia="Arial" w:hAnsi="Arial"/>
          <w:sz w:val="18"/>
          <w:szCs w:val="18"/>
          <w:color w:val="auto"/>
        </w:rPr>
        <w:t>As the Company’s leases do not provide an implicit rate, the Company uses its incremental borrowing rate to discount lease payments. The incremental borrowing rate represents an estimated rate of interest that the Company would have to pay to borrow equivalent funds on a collateralized basis at the lease commencement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5" w:lineRule="exact"/>
        <w:rPr>
          <w:sz w:val="20"/>
          <w:szCs w:val="20"/>
          <w:color w:val="auto"/>
        </w:rPr>
      </w:pPr>
    </w:p>
    <w:p>
      <w:pPr>
        <w:jc w:val="both"/>
        <w:ind w:firstLine="637"/>
        <w:spacing w:after="0" w:line="234" w:lineRule="auto"/>
        <w:rPr>
          <w:sz w:val="20"/>
          <w:szCs w:val="20"/>
          <w:color w:val="auto"/>
        </w:rPr>
      </w:pPr>
      <w:r>
        <w:rPr>
          <w:rFonts w:ascii="Arial" w:cs="Arial" w:eastAsia="Arial" w:hAnsi="Arial"/>
          <w:sz w:val="18"/>
          <w:szCs w:val="18"/>
          <w:color w:val="auto"/>
        </w:rPr>
        <w:t>The Company determines revenue recognition for arrangements within the scope of Accounting Standards Update 2014-09, Revenue from Contracts with Customers (Topic 606) (“ASC 606”) by performing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w:t>
      </w:r>
    </w:p>
    <w:p>
      <w:pPr>
        <w:spacing w:after="0" w:line="2" w:lineRule="exact"/>
        <w:rPr>
          <w:sz w:val="20"/>
          <w:szCs w:val="20"/>
          <w:color w:val="auto"/>
        </w:rPr>
      </w:pPr>
    </w:p>
    <w:p>
      <w:pPr>
        <w:ind w:firstLine="8"/>
        <w:spacing w:after="0" w:line="245" w:lineRule="auto"/>
        <w:tabs>
          <w:tab w:leader="none" w:pos="3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based on estimated selling prices; and (v) recognition of revenue when (or as) the Company satisfies each performance obligation.</w:t>
      </w:r>
    </w:p>
    <w:p>
      <w:pPr>
        <w:spacing w:after="0" w:line="198"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Company’s revenue is primarily derived through its license, research, development and commercialization agreements. The terms of these types of agreements may include (i) licenses to the Company’s technology,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Arrangements that include upfront payments are recorded as deferred revenue upon receipt or when due and are recognized as revenue as performance conditions are met. The event-based milestone payments, royalties and cost reimbursements represent variable consideration, and the Company uses the most likely amount method to estimate this variable consideration. Royalty payments are recognized when earned or as the sales occur. The Company records cost reimbursements as accounts receivable when right to consideration is unconditional.</w:t>
      </w:r>
    </w:p>
    <w:p>
      <w:pPr>
        <w:spacing w:after="0" w:line="20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The Company allocates the total transaction price to each performance obligation based on the estimated standalone selling price and recognizes revenue when, or as, the performance obligation is satisfied. The Company includes the unconstrained amount of estimated variable consideration in the transaction price. At the end of each reporting period, the Company re-evaluates the estimated variable consideration included in the transaction price and any related constraint, and if necessary, adjusts its estimate of the overall transaction price.</w:t>
      </w:r>
    </w:p>
    <w:p>
      <w:pPr>
        <w:spacing w:after="0" w:line="203"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Significant management judgment is required to determine the level of effort required under an arrangement and the period over which the Company expects to complete its performance obligations under the arrangement. Changes in these estimates can have a material effect on revenue recognized.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Costs related to research, design and development of programs are charged to research and development expense as incurred. Research and development costs include, but are not limited to, payroll and personnel expenses including stock-based compensation, materials, laboratory supplies, outside services and allocated overhead, including rent, insurance, repairs and maintenance, depreciation and utilities. The Company expenses all research and development costs in the period in which they are incurred.</w:t>
      </w:r>
    </w:p>
    <w:p>
      <w:pPr>
        <w:spacing w:after="0" w:line="204"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Accrued Research and Development</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has entered into various agreements with CROs and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balance sheet.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5"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The Company accounts for stock-based compensation for stock options granted to employees, directors and nonemployees as measured at grant date, based on the fair value of the award. The Company measures the fair value of awards granted using the Black-Scholes option pricing model and recognizes the expense in the statements of operations over the requisite service period, generally four years, using the straight-line method. Forfeitures are accounted for as they occur. The Company’s policy for issuing stock upon stock option exercise is to issue new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20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Derivative</w:t>
      </w:r>
    </w:p>
    <w:p>
      <w:pPr>
        <w:spacing w:after="0" w:line="1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Embedded derivatives that are required to be bifurcated from the underlying host instrument are accounted for and valued as a separate financial instrument. An embedded derivative exists in the award agreement with the Cystic Fibrosis Foundation (“CFF”). As described in Note 15, the embedded derivative has been bifurcated and is classified as a liability on the balance sheet and separately accounted for at its fair value. The derivative liability is subject to remeasurement to fair value each reporting period. Changes in the fair value of the derivative liability are recognized as a component of other income (expense), net within the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capitalizes certain legal, accounting and other third-party fees that are directly related to the Company’s in-process financings, until such financings are consummated. After consummation of the financing, these costs are recorded as a reduction of the proceeds received as a result of the offering. In the event that a planned offering does not occur or is significantly delayed, all related deferred offering costs will be expensed immediately within the Company’s statements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Net Loss Per Share, Basic and Diluted</w:t>
      </w:r>
    </w:p>
    <w:p>
      <w:pPr>
        <w:spacing w:after="0" w:line="23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during the period. Diluted net loss per share is computed by giving effect to all potentially dilutive common shares outstanding for the period. For purposes of this calculation, stock options to acquire shares of common stock, common stock warrants, and common stock expected to be issued under the ESPP, are considered potentially dilutive common shares, but have been excluded from the calculation of diluted net loss per share as their effect is antidilutive.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21"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86" w:lineRule="exact"/>
        <w:rPr>
          <w:sz w:val="20"/>
          <w:szCs w:val="20"/>
          <w:color w:val="auto"/>
        </w:rPr>
      </w:pPr>
    </w:p>
    <w:p>
      <w:pPr>
        <w:jc w:val="both"/>
        <w:ind w:firstLine="637"/>
        <w:spacing w:after="0" w:line="239"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as clarified in subsequent amendments. ASU 2016-13 changes the impairment model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new model is a forward-looking expected loss model and will apply to financial assets subject to credit losses and measured at amortized cost and certain off-balance sheet credit exposures. This includes loans, held-to-maturity debt securities, loan commitments, financial guarantees and net investments in leases, as well as trade receivables. For available-for-sale debt securities with unrealized losses, credit losses will be measured in a manner similar to today, except that the losses will be recognized as allowances rather than reductions in the amortized cost of the securities. In October 2019, the FASB voted to delay the effective date of this standard. Topic 326 will be effective for the Company for fiscal years beginning after December 15, 2022</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color w:val="212529"/>
        </w:rPr>
        <w:t>including interim periods within those fiscal years.</w:t>
      </w:r>
      <w:r>
        <w:rPr>
          <w:rFonts w:ascii="Arial" w:cs="Arial" w:eastAsia="Arial" w:hAnsi="Arial"/>
          <w:sz w:val="18"/>
          <w:szCs w:val="18"/>
          <w:color w:val="auto"/>
        </w:rPr>
        <w:t xml:space="preserve"> Early adoption is permitted. The Company is currently evaluating the effects of this ASU on its financial statements and related disclosures and does not expect there to be a material impact.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w:t>
      </w:r>
    </w:p>
    <w:p>
      <w:pPr>
        <w:spacing w:after="0" w:line="12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following tables represent the Company’s fair value hierarchy for financial assets and financial liabilities measured at fair value on a recurring basis as of December 31, 2022 and 2021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Basis for Fair Value Measurements</w:t>
            </w: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32"/>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44,447</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47,012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treasuries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80"/>
              <w:spacing w:after="0"/>
              <w:rPr>
                <w:sz w:val="20"/>
                <w:szCs w:val="20"/>
                <w:color w:val="auto"/>
              </w:rPr>
            </w:pPr>
            <w:r>
              <w:rPr>
                <w:rFonts w:ascii="Arial" w:cs="Arial" w:eastAsia="Arial" w:hAnsi="Arial"/>
                <w:sz w:val="18"/>
                <w:szCs w:val="18"/>
                <w:color w:val="auto"/>
              </w:rPr>
              <w:t>U.S. government sponsored</w:t>
            </w:r>
          </w:p>
        </w:tc>
        <w:tc>
          <w:tcPr>
            <w:tcW w:w="32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7,168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480"/>
              <w:spacing w:after="0" w:line="203" w:lineRule="exact"/>
              <w:rPr>
                <w:sz w:val="20"/>
                <w:szCs w:val="20"/>
                <w:color w:val="auto"/>
              </w:rPr>
            </w:pPr>
            <w:r>
              <w:rPr>
                <w:rFonts w:ascii="Arial" w:cs="Arial" w:eastAsia="Arial" w:hAnsi="Arial"/>
                <w:sz w:val="18"/>
                <w:szCs w:val="18"/>
                <w:color w:val="auto"/>
              </w:rPr>
              <w:t>agencies</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3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44,447</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166,111</w:t>
            </w:r>
          </w:p>
        </w:tc>
        <w:tc>
          <w:tcPr>
            <w:tcW w:w="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210,558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Derivative liability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F-14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-984250</wp:posOffset>
            </wp:positionV>
            <wp:extent cx="340804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3408045" cy="171450"/>
                    </a:xfrm>
                    <a:prstGeom prst="rect">
                      <a:avLst/>
                    </a:prstGeom>
                    <a:noFill/>
                  </pic:spPr>
                </pic:pic>
              </a:graphicData>
            </a:graphic>
          </wp:anchor>
        </w:drawing>
        <w:drawing>
          <wp:anchor simplePos="0" relativeHeight="251657728" behindDoc="1" locked="0" layoutInCell="0" allowOverlap="1">
            <wp:simplePos x="0" y="0"/>
            <wp:positionH relativeFrom="column">
              <wp:posOffset>3729355</wp:posOffset>
            </wp:positionH>
            <wp:positionV relativeFrom="paragraph">
              <wp:posOffset>-667385</wp:posOffset>
            </wp:positionV>
            <wp:extent cx="76835"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-667385</wp:posOffset>
            </wp:positionV>
            <wp:extent cx="76835"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-667385</wp:posOffset>
            </wp:positionV>
            <wp:extent cx="6858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Basis for Fair Value Measurements</w:t>
            </w:r>
          </w:p>
        </w:tc>
        <w:tc>
          <w:tcPr>
            <w:tcW w:w="1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6"/>
                <w:szCs w:val="16"/>
                <w:color w:val="auto"/>
              </w:rPr>
            </w:pPr>
          </w:p>
        </w:tc>
      </w:tr>
      <w:tr>
        <w:trPr>
          <w:trHeight w:val="209"/>
        </w:trPr>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8"/>
                <w:szCs w:val="18"/>
                <w:color w:val="auto"/>
              </w:rPr>
            </w:pPr>
          </w:p>
        </w:tc>
        <w:tc>
          <w:tcPr>
            <w:tcW w:w="15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8"/>
                <w:szCs w:val="18"/>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36,556</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36,556</w:t>
            </w:r>
          </w:p>
        </w:tc>
        <w:tc>
          <w:tcPr>
            <w:tcW w:w="100" w:type="dxa"/>
            <w:vAlign w:val="bottom"/>
          </w:tcPr>
          <w:p>
            <w:pPr>
              <w:spacing w:after="0"/>
              <w:rPr>
                <w:sz w:val="19"/>
                <w:szCs w:val="19"/>
                <w:color w:val="auto"/>
              </w:rPr>
            </w:pPr>
          </w:p>
        </w:tc>
      </w:tr>
      <w:tr>
        <w:trPr>
          <w:trHeight w:val="229"/>
        </w:trPr>
        <w:tc>
          <w:tcPr>
            <w:tcW w:w="4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37,535</w:t>
            </w: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94,864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94,864</w:t>
            </w:r>
          </w:p>
        </w:tc>
        <w:tc>
          <w:tcPr>
            <w:tcW w:w="100" w:type="dxa"/>
            <w:vAlign w:val="bottom"/>
          </w:tcPr>
          <w:p>
            <w:pPr>
              <w:spacing w:after="0"/>
              <w:rPr>
                <w:sz w:val="19"/>
                <w:szCs w:val="19"/>
                <w:color w:val="auto"/>
              </w:rPr>
            </w:pPr>
          </w:p>
        </w:tc>
      </w:tr>
      <w:tr>
        <w:trPr>
          <w:trHeight w:val="229"/>
        </w:trPr>
        <w:tc>
          <w:tcPr>
            <w:tcW w:w="42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30,029</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220" w:type="dxa"/>
            <w:vAlign w:val="bottom"/>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36,556</w:t>
            </w:r>
          </w:p>
        </w:tc>
        <w:tc>
          <w:tcPr>
            <w:tcW w:w="6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162,428</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198,984</w:t>
            </w:r>
          </w:p>
        </w:tc>
        <w:tc>
          <w:tcPr>
            <w:tcW w:w="100" w:type="dxa"/>
            <w:vAlign w:val="bottom"/>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Derivative liability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63"/>
        </w:trPr>
        <w:tc>
          <w:tcPr>
            <w:tcW w:w="42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-650240</wp:posOffset>
            </wp:positionV>
            <wp:extent cx="76835" cy="1797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-650240</wp:posOffset>
            </wp:positionV>
            <wp:extent cx="68580" cy="1797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-650240</wp:posOffset>
            </wp:positionV>
            <wp:extent cx="6858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-24765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-7620</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Inputs</w:t>
      </w:r>
    </w:p>
    <w:p>
      <w:pPr>
        <w:spacing w:after="0" w:line="23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fair value of the derivative liability is based on significant inputs not observable in the market, which represents a Level 3 measurement within the fair value hierarchy. The fair value of the derivative liability was determined using a present value analysis with multiple scenarios. In determining the fair value of the derivative liability, the inputs impacting fair value include the change of control payment to CFF, the probability of a change of control event, the product status at time of a change of control event and the discount rate. See Note 15 for further discussion on embedded derivative.</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transfers between Level 1, 2 and 3 during the periods presented.</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changes in the fair value of the Company’s Level 3 derivative liability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4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80"/>
              <w:spacing w:after="0"/>
              <w:rPr>
                <w:sz w:val="20"/>
                <w:szCs w:val="20"/>
                <w:color w:val="auto"/>
              </w:rPr>
            </w:pPr>
            <w:r>
              <w:rPr>
                <w:rFonts w:ascii="Arial" w:cs="Arial" w:eastAsia="Arial" w:hAnsi="Arial"/>
                <w:sz w:val="18"/>
                <w:szCs w:val="18"/>
                <w:color w:val="auto"/>
              </w:rPr>
              <w:t>Change in fair value included in other income (expense), net</w:t>
            </w: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r>
      <w:tr>
        <w:trPr>
          <w:trHeight w:val="229"/>
        </w:trPr>
        <w:tc>
          <w:tcPr>
            <w:tcW w:w="9240" w:type="dxa"/>
            <w:vAlign w:val="bottom"/>
          </w:tcPr>
          <w:p>
            <w:pPr>
              <w:ind w:left="280"/>
              <w:spacing w:after="0"/>
              <w:rPr>
                <w:sz w:val="20"/>
                <w:szCs w:val="20"/>
                <w:color w:val="auto"/>
              </w:rPr>
            </w:pPr>
            <w:r>
              <w:rPr>
                <w:rFonts w:ascii="Arial" w:cs="Arial" w:eastAsia="Arial" w:hAnsi="Arial"/>
                <w:sz w:val="18"/>
                <w:szCs w:val="18"/>
                <w:color w:val="auto"/>
              </w:rPr>
              <w:t>Change in fair value included in other income (expense), net</w:t>
            </w:r>
          </w:p>
        </w:tc>
        <w:tc>
          <w:tcPr>
            <w:tcW w:w="8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r>
      <w:tr>
        <w:trPr>
          <w:trHeight w:val="263"/>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84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Marketable Securities</w:t>
      </w:r>
    </w:p>
    <w:p>
      <w:pPr>
        <w:spacing w:after="0" w:line="12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Marketable securities, which are classified as available-for-sale, consisted of the following as of December 31, 2022 and 2021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114"/>
              <w:spacing w:after="0"/>
              <w:rPr>
                <w:sz w:val="20"/>
                <w:szCs w:val="20"/>
                <w:color w:val="auto"/>
              </w:rPr>
            </w:pPr>
            <w:r>
              <w:rPr>
                <w:rFonts w:ascii="Arial" w:cs="Arial" w:eastAsia="Arial" w:hAnsi="Arial"/>
                <w:sz w:val="14"/>
                <w:szCs w:val="14"/>
                <w:b w:val="1"/>
                <w:bCs w:val="1"/>
                <w:color w:val="auto"/>
              </w:rPr>
              <w:t>Gross Unrealized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4"/>
                <w:szCs w:val="14"/>
                <w:color w:val="auto"/>
              </w:rPr>
            </w:pPr>
          </w:p>
        </w:tc>
        <w:tc>
          <w:tcPr>
            <w:tcW w:w="1360" w:type="dxa"/>
            <w:vAlign w:val="bottom"/>
          </w:tcPr>
          <w:p>
            <w:pPr>
              <w:jc w:val="right"/>
              <w:ind w:right="172"/>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 Cost Basis</w:t>
            </w:r>
          </w:p>
        </w:tc>
        <w:tc>
          <w:tcPr>
            <w:tcW w:w="140" w:type="dxa"/>
            <w:vAlign w:val="bottom"/>
          </w:tcPr>
          <w:p>
            <w:pPr>
              <w:spacing w:after="0"/>
              <w:rPr>
                <w:sz w:val="16"/>
                <w:szCs w:val="16"/>
                <w:color w:val="auto"/>
              </w:rPr>
            </w:pP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Losses</w:t>
            </w:r>
          </w:p>
        </w:tc>
        <w:tc>
          <w:tcPr>
            <w:tcW w:w="15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marketable securities:</w:t>
            </w:r>
          </w:p>
        </w:tc>
        <w:tc>
          <w:tcPr>
            <w:tcW w:w="4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43,988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4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(553 )</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63,502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(444 )</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government sponsored</w:t>
            </w:r>
          </w:p>
        </w:tc>
        <w:tc>
          <w:tcPr>
            <w:tcW w:w="48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7,185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agencies</w:t>
            </w:r>
          </w:p>
        </w:tc>
        <w:tc>
          <w:tcPr>
            <w:tcW w:w="48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tcPr>
          <w:p>
            <w:pPr>
              <w:ind w:left="520"/>
              <w:spacing w:after="0"/>
              <w:rPr>
                <w:sz w:val="20"/>
                <w:szCs w:val="20"/>
                <w:color w:val="auto"/>
              </w:rPr>
            </w:pPr>
            <w:r>
              <w:rPr>
                <w:rFonts w:ascii="Arial" w:cs="Arial" w:eastAsia="Arial" w:hAnsi="Arial"/>
                <w:sz w:val="18"/>
                <w:szCs w:val="18"/>
                <w:color w:val="auto"/>
              </w:rPr>
              <w:t>Total short-term marketable securities</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162,240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(1,050 )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5,067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(159 )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shd w:val="clear" w:color="auto" w:fill="CFF0FC"/>
          </w:tcPr>
          <w:p>
            <w:pPr>
              <w:ind w:left="520"/>
              <w:spacing w:after="0"/>
              <w:rPr>
                <w:sz w:val="20"/>
                <w:szCs w:val="20"/>
                <w:color w:val="auto"/>
              </w:rPr>
            </w:pPr>
            <w:r>
              <w:rPr>
                <w:rFonts w:ascii="Arial" w:cs="Arial" w:eastAsia="Arial" w:hAnsi="Arial"/>
                <w:sz w:val="18"/>
                <w:szCs w:val="18"/>
                <w:color w:val="auto"/>
              </w:rPr>
              <w:t>Total long-term marketable securities</w:t>
            </w:r>
          </w:p>
        </w:tc>
        <w:tc>
          <w:tcPr>
            <w:tcW w:w="4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vMerge w:val="continue"/>
            <w:shd w:val="clear" w:color="auto" w:fill="CFF0FC"/>
          </w:tcPr>
          <w:p>
            <w:pPr>
              <w:spacing w:after="0"/>
              <w:rPr>
                <w:sz w:val="21"/>
                <w:szCs w:val="21"/>
                <w:color w:val="auto"/>
              </w:rPr>
            </w:pPr>
          </w:p>
        </w:tc>
        <w:tc>
          <w:tcPr>
            <w:tcW w:w="4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F-15</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-1129665</wp:posOffset>
            </wp:positionV>
            <wp:extent cx="76835"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-1129665</wp:posOffset>
            </wp:positionV>
            <wp:extent cx="685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-1129665</wp:posOffset>
            </wp:positionV>
            <wp:extent cx="6858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-504825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-487680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3652520</wp:posOffset>
            </wp:positionH>
            <wp:positionV relativeFrom="paragraph">
              <wp:posOffset>-658495</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-504825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-487680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-658495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-504825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-487680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-658495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Gross Unrealized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4"/>
                <w:szCs w:val="14"/>
                <w:color w:val="auto"/>
              </w:rPr>
            </w:pPr>
          </w:p>
        </w:tc>
        <w:tc>
          <w:tcPr>
            <w:tcW w:w="1420" w:type="dxa"/>
            <w:vAlign w:val="bottom"/>
          </w:tcPr>
          <w:p>
            <w:pPr>
              <w:jc w:val="right"/>
              <w:ind w:right="174"/>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4"/>
                <w:szCs w:val="14"/>
                <w:color w:val="auto"/>
              </w:rPr>
            </w:pPr>
          </w:p>
        </w:tc>
      </w:tr>
      <w:tr>
        <w:trPr>
          <w:trHeight w:val="189"/>
        </w:trPr>
        <w:tc>
          <w:tcPr>
            <w:tcW w:w="4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 Basis</w:t>
            </w:r>
          </w:p>
        </w:tc>
        <w:tc>
          <w:tcPr>
            <w:tcW w:w="280" w:type="dxa"/>
            <w:vAlign w:val="bottom"/>
          </w:tcPr>
          <w:p>
            <w:pPr>
              <w:spacing w:after="0"/>
              <w:rPr>
                <w:sz w:val="16"/>
                <w:szCs w:val="16"/>
                <w:color w:val="auto"/>
              </w:rPr>
            </w:pPr>
          </w:p>
        </w:tc>
        <w:tc>
          <w:tcPr>
            <w:tcW w:w="1360" w:type="dxa"/>
            <w:vAlign w:val="bottom"/>
          </w:tcPr>
          <w:p>
            <w:pPr>
              <w:jc w:val="right"/>
              <w:ind w:right="299"/>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142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Commercial paper</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32,471</w:t>
            </w:r>
          </w:p>
        </w:tc>
        <w:tc>
          <w:tcPr>
            <w:tcW w:w="1640" w:type="dxa"/>
            <w:vAlign w:val="bottom"/>
            <w:gridSpan w:val="2"/>
            <w:shd w:val="clear" w:color="auto" w:fill="CFF0FC"/>
          </w:tcPr>
          <w:p>
            <w:pPr>
              <w:jc w:val="right"/>
              <w:ind w:right="115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57,315</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57,236</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treasuries</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w:t>
            </w:r>
          </w:p>
        </w:tc>
        <w:tc>
          <w:tcPr>
            <w:tcW w:w="100" w:type="dxa"/>
            <w:vAlign w:val="bottom"/>
            <w:shd w:val="clear" w:color="auto" w:fill="CFF0FC"/>
          </w:tcPr>
          <w:p>
            <w:pPr>
              <w:spacing w:after="0"/>
              <w:rPr>
                <w:sz w:val="19"/>
                <w:szCs w:val="19"/>
                <w:color w:val="auto"/>
              </w:rPr>
            </w:pPr>
          </w:p>
        </w:tc>
      </w:tr>
      <w:tr>
        <w:trPr>
          <w:trHeight w:val="20"/>
        </w:trPr>
        <w:tc>
          <w:tcPr>
            <w:tcW w:w="41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160" w:type="dxa"/>
            <w:vAlign w:val="bottom"/>
          </w:tcPr>
          <w:p>
            <w:pPr>
              <w:ind w:left="520"/>
              <w:spacing w:after="0"/>
              <w:rPr>
                <w:sz w:val="20"/>
                <w:szCs w:val="20"/>
                <w:color w:val="auto"/>
              </w:rPr>
            </w:pPr>
            <w:r>
              <w:rPr>
                <w:rFonts w:ascii="Arial" w:cs="Arial" w:eastAsia="Arial" w:hAnsi="Arial"/>
                <w:sz w:val="18"/>
                <w:szCs w:val="18"/>
                <w:color w:val="auto"/>
              </w:rPr>
              <w:t>Total short-term marketable securities</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94,868</w:t>
            </w:r>
          </w:p>
        </w:tc>
        <w:tc>
          <w:tcPr>
            <w:tcW w:w="280" w:type="dxa"/>
            <w:vAlign w:val="bottom"/>
          </w:tcPr>
          <w:p>
            <w:pPr>
              <w:spacing w:after="0"/>
              <w:rPr>
                <w:sz w:val="19"/>
                <w:szCs w:val="19"/>
                <w:color w:val="auto"/>
              </w:rPr>
            </w:pPr>
          </w:p>
        </w:tc>
        <w:tc>
          <w:tcPr>
            <w:tcW w:w="1360" w:type="dxa"/>
            <w:vAlign w:val="bottom"/>
          </w:tcPr>
          <w:p>
            <w:pPr>
              <w:jc w:val="right"/>
              <w:ind w:right="1159"/>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(92 )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94,776</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5,089</w:t>
            </w:r>
          </w:p>
        </w:tc>
        <w:tc>
          <w:tcPr>
            <w:tcW w:w="1640" w:type="dxa"/>
            <w:vAlign w:val="bottom"/>
            <w:gridSpan w:val="2"/>
          </w:tcPr>
          <w:p>
            <w:pPr>
              <w:jc w:val="right"/>
              <w:ind w:right="115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(21 )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37,821</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(193 )</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37,628</w:t>
            </w: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25,073</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(117 )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1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long-term marketable securities</w:t>
            </w:r>
          </w:p>
        </w:tc>
        <w:tc>
          <w:tcPr>
            <w:tcW w:w="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67,983</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159"/>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67,652</w:t>
            </w:r>
          </w:p>
        </w:tc>
        <w:tc>
          <w:tcPr>
            <w:tcW w:w="100" w:type="dxa"/>
            <w:vAlign w:val="bottom"/>
            <w:shd w:val="clear" w:color="auto" w:fill="CFF0FC"/>
          </w:tcPr>
          <w:p>
            <w:pPr>
              <w:spacing w:after="0"/>
              <w:rPr>
                <w:sz w:val="21"/>
                <w:szCs w:val="2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-941070</wp:posOffset>
            </wp:positionV>
            <wp:extent cx="76835"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-941070</wp:posOffset>
            </wp:positionV>
            <wp:extent cx="6858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-941070</wp:posOffset>
            </wp:positionV>
            <wp:extent cx="68580" cy="1797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All marketable securities held as of December 31, 2022 and 2021 had contractual maturities of less than two years. There have been no material realized gains or losses on marketable securities for the periods presented. Accrued interest receivable is excluded from the amortized cost and estimated fair value of the Company's marketable securities. Accrued interest receivable of $0.7 million as of both December 31, 2022 and 2021 is presented separately within the prepaid expenses and other current assets line item in the Company's balance sheets.</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As of December 31, 2022 and 2021, the aggregate fair value of securities held by the Company in a continuous unrealized loss position for less than twelve months was $97.5 million and $162.4 million, respectively. As of December 31, 2022 and 2021, the aggregate fair value of securities held by the Company in a continuous unrealized loss position for more than twelve months was $53.7 million and $0 million, respectively.</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determined that it has the ability and intent to hold all marketable securities that have been in a continuous loss position until maturity or recovery, thus there has been no recognition of any other-than-temporary impairment in the year ended December 31, 2022.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Property and Equipment, Net</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6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Machinery and equipment</w:t>
            </w:r>
          </w:p>
        </w:tc>
        <w:tc>
          <w:tcPr>
            <w:tcW w:w="100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16,902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10,066</w:t>
            </w:r>
          </w:p>
        </w:tc>
        <w:tc>
          <w:tcPr>
            <w:tcW w:w="100" w:type="dxa"/>
            <w:vAlign w:val="bottom"/>
          </w:tcPr>
          <w:p>
            <w:pPr>
              <w:spacing w:after="0"/>
              <w:rPr>
                <w:sz w:val="19"/>
                <w:szCs w:val="19"/>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and equipment</w:t>
            </w:r>
          </w:p>
        </w:tc>
        <w:tc>
          <w:tcPr>
            <w:tcW w:w="10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19,716</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10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(7,728 )</w:t>
            </w: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(5,325 )</w:t>
            </w:r>
          </w:p>
        </w:tc>
      </w:tr>
      <w:tr>
        <w:trPr>
          <w:trHeight w:val="263"/>
        </w:trPr>
        <w:tc>
          <w:tcPr>
            <w:tcW w:w="76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22,262</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5874385</wp:posOffset>
            </wp:positionH>
            <wp:positionV relativeFrom="paragraph">
              <wp:posOffset>-1510665</wp:posOffset>
            </wp:positionV>
            <wp:extent cx="1275715" cy="1708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1275715" cy="17081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All property and equipment are maintained in the United States. Depreciation expense was $2.4 million and $1.5 million for the years ended December 31, 2022 and 2021,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6. Accrued and Other Current Liabilities</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Payroll and related expenses</w:t>
            </w:r>
          </w:p>
        </w:tc>
        <w:tc>
          <w:tcPr>
            <w:tcW w:w="1020" w:type="dxa"/>
            <w:vAlign w:val="bottom"/>
            <w:shd w:val="clear" w:color="auto" w:fill="CFF0FC"/>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5,689</w:t>
            </w:r>
          </w:p>
        </w:tc>
        <w:tc>
          <w:tcPr>
            <w:tcW w:w="12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Accrued clinical and preclinical study costs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Consulting and professional</w:t>
            </w: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r>
      <w:tr>
        <w:trPr>
          <w:trHeight w:val="263"/>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accrued and other current liabilities</w:t>
            </w:r>
          </w:p>
        </w:tc>
        <w:tc>
          <w:tcPr>
            <w:tcW w:w="1020" w:type="dxa"/>
            <w:vAlign w:val="bottom"/>
            <w:shd w:val="clear" w:color="auto" w:fill="CFF0FC"/>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8,870</w:t>
            </w:r>
          </w:p>
        </w:tc>
        <w:tc>
          <w:tcPr>
            <w:tcW w:w="12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w:t>
            </w:r>
          </w:p>
        </w:tc>
        <w:tc>
          <w:tcPr>
            <w:tcW w:w="100" w:type="dxa"/>
            <w:vAlign w:val="bottom"/>
            <w:shd w:val="clear" w:color="auto" w:fill="CFF0FC"/>
          </w:tcPr>
          <w:p>
            <w:pPr>
              <w:spacing w:after="0"/>
              <w:rPr>
                <w:sz w:val="22"/>
                <w:szCs w:val="22"/>
                <w:color w:val="auto"/>
              </w:rPr>
            </w:pPr>
          </w:p>
        </w:tc>
      </w:tr>
      <w:tr>
        <w:trPr>
          <w:trHeight w:val="547"/>
        </w:trPr>
        <w:tc>
          <w:tcPr>
            <w:tcW w:w="77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i w:val="1"/>
                <w:iCs w:val="1"/>
                <w:color w:val="auto"/>
              </w:rPr>
              <w:t>7. Research and Collaboration Arrangements</w:t>
            </w: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10"/>
        </w:trPr>
        <w:tc>
          <w:tcPr>
            <w:tcW w:w="7700" w:type="dxa"/>
            <w:vAlign w:val="bottom"/>
          </w:tcPr>
          <w:p>
            <w:pPr>
              <w:ind w:left="640"/>
              <w:spacing w:after="0"/>
              <w:rPr>
                <w:sz w:val="20"/>
                <w:szCs w:val="20"/>
                <w:color w:val="auto"/>
              </w:rPr>
            </w:pPr>
            <w:r>
              <w:rPr>
                <w:rFonts w:ascii="Arial" w:cs="Arial" w:eastAsia="Arial" w:hAnsi="Arial"/>
                <w:sz w:val="18"/>
                <w:szCs w:val="18"/>
                <w:color w:val="auto"/>
              </w:rPr>
              <w:t>Collaboration and license revenue for each period was as follows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70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77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uniQure</w:t>
            </w:r>
          </w:p>
        </w:tc>
        <w:tc>
          <w:tcPr>
            <w:tcW w:w="1020" w:type="dxa"/>
            <w:vAlign w:val="bottom"/>
            <w:shd w:val="clear" w:color="auto" w:fill="CFF0FC"/>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6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Roche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17,181</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CFF</w:t>
            </w: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spacing w:after="0"/>
              <w:rPr>
                <w:sz w:val="19"/>
                <w:szCs w:val="19"/>
                <w:color w:val="auto"/>
              </w:rPr>
            </w:pPr>
          </w:p>
        </w:tc>
        <w:tc>
          <w:tcPr>
            <w:tcW w:w="1020" w:type="dxa"/>
            <w:vAlign w:val="bottom"/>
          </w:tcPr>
          <w:p>
            <w:pPr>
              <w:jc w:val="right"/>
              <w:ind w:right="838"/>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3,129</w:t>
            </w:r>
          </w:p>
        </w:tc>
        <w:tc>
          <w:tcPr>
            <w:tcW w:w="126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18,038</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-1634490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-1617345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revenue for each period was as follows (in thousands):</w:t>
      </w:r>
    </w:p>
    <w:p>
      <w:pPr>
        <w:spacing w:after="0" w:line="23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Deferred Revenue</w:t>
      </w:r>
    </w:p>
    <w:p>
      <w:pPr>
        <w:spacing w:after="0" w:line="1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6350</wp:posOffset>
            </wp:positionV>
            <wp:extent cx="21831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uniQure</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CFF</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total amount of revenue in the year ended December 31, 2022, which was included in deferred revenue at January 1, 2022, was $3.1 million. The total amount of revenue in the year ended December 31, 2021, which was included in deferred revenue at January 1, 2021,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was $15.1 million.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uniQure</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January 2014, the Company and uniQure biopharma B.V. (“uniQure”) entered into a Collaboration and License Agreement (the “uniQure Agreement”) to collaborate on the discovery and non-clinical research activities related to the Company’s Therapeutic Vector Evolution platform in order to generate and validate vectors for gene delivery to treat diseases within the central nervous system and liver (together, the “uniQure Field”).</w:t>
      </w:r>
    </w:p>
    <w:p>
      <w:pPr>
        <w:spacing w:after="0" w:line="20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uniQure Agreement provided uniQure with a research license as well as an exclusive development and commercialization license for each project variant selected for further development. The initial research term is three years with an option for uniQure to extend the research term one time for an additional year. Once the Company’s research plan has concluded, uniQure is solely responsible for the continued development, manufacturing and commercialization of the project variants as potential product candidates. In October 2016, uniQure exercised its option to extend the research term for an additional year to January 2018. The Company was also required to work exclusively with uniQure in the uniQure Field (the “uniQure Exclusivity Clause”).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49" w:name="page150"/>
    <w:bookmarkEnd w:id="149"/>
    <w:p>
      <w:pPr>
        <w:jc w:val="both"/>
        <w:ind w:firstLine="637"/>
        <w:spacing w:after="0" w:line="236" w:lineRule="auto"/>
        <w:rPr>
          <w:sz w:val="20"/>
          <w:szCs w:val="20"/>
          <w:color w:val="auto"/>
        </w:rPr>
      </w:pPr>
      <w:r>
        <w:rPr>
          <w:rFonts w:ascii="Arial" w:cs="Arial" w:eastAsia="Arial" w:hAnsi="Arial"/>
          <w:sz w:val="18"/>
          <w:szCs w:val="18"/>
          <w:color w:val="auto"/>
        </w:rPr>
        <w:t>Pursuant to the uniQure Agreement, the Company received upfront payments of $0.2 million, and was entitled to receive (i) contingent payments for the achievement of research and development milestones of up to $5.0 million for each licensed product selected under the arrangement, and (ii) royalties in the single digit range on future sales of the potential product candidates and sublicense consideration in the low teens to low thirties range on any future sublicensing arrangements. The Company also received capped research and development service fees based on contractual full-time employee rates per year. In connection with the performance obligations under the uniQure Agreement, the founders of 4D Molecular Therapeutics, LLC received equity options to purchase an aggregate of 609,744 of uniQure ordinary shares that vested over the initial three-year term of the agreement.</w:t>
      </w:r>
    </w:p>
    <w:p>
      <w:pPr>
        <w:spacing w:after="0" w:line="207"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upfront payment of $0.2 million was recorded as deferred revenue and was recognized on a ratable basis over the estimated performance period of four years. Payments and reimbursements for research costs were recognized on an as-incurred basis. The options to purchase uniQure shares were deemed to be a noncash component of the arrangement consideration, as the vesting of options is linked to the uniQure Agreement and there is a requirement for the holders of the options to provide services under the agreement. The fair value of the uniQure options, which was estimated to be $10.6 million, was recognized ratably as revenue over the estimated performance period of four years and the associated compensation expense related to the stock options was recorded as research and development expense.</w:t>
      </w:r>
    </w:p>
    <w:p>
      <w:pPr>
        <w:spacing w:after="0" w:line="203"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August 2019, the Company and uniQure entered into an Amended and Restated Collaboration and License Agreement (the “Amended uniQure Agreement”), which amended and restated the uniQure Agreement, and a separate Collaboration and License Agreement (the “Second uniQure Agreement”). Under these agreements, the Company agreed to transfer incremental rights and services to uniQure in exchange for uniQure eliminating the uniQure Exclusivity Clause and transferring other rights back to the Company.</w:t>
      </w:r>
    </w:p>
    <w:p>
      <w:pPr>
        <w:spacing w:after="0" w:line="20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Under the Amended uniQure Agreement, uniQure continues to have an exclusive license to select AAV capsid variants (the “Selected Variants”) in the uniQure Field. uniQure continues to be solely responsible, at its cost, to develop and commercialize the compounds and products containing the Selected Variants. The amended uniQure Agreement eliminated the uniQure Exclusivity Clause in the uniQure Agreement. Furthermore, the contingent payments that the Company was entitled to from uniQure for the achievement of research and development milestones of up to $5.0 million for each licensed product selected under the uniQure Agreement were eliminated and sublicense consideration on any future sublicensing arrangements was reduced from the low teens to low thirties percentages to mid-single digit to mid-twenties percentages.</w:t>
      </w:r>
    </w:p>
    <w:p>
      <w:pPr>
        <w:spacing w:after="0" w:line="207"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Under the Second uniQure Agreement, the parties agreed to research and develop new AAV capsid variants (the “New Variants”) that are not Selected Variants that affect certain targets selected by uniQure (the “uniQure Targets”) in the uniQure Field. The Company is solely responsible, at its cost, for the research of the New Variants. The Company granted uniQure an exclusive license to a certain number of the New Variants (the “uniQure New Variants”) that affect the uniQure Targets. uniQure is solely responsible, at its cost, to develop and commercialize the compounds and products containing the uniQure New Variants that affect the uniQure Targets (the “Licensed Products”). The Company retains all rights to New Variants in the uniQure Field that affect targets other than the uniQure Targets.</w:t>
      </w:r>
    </w:p>
    <w:p>
      <w:pPr>
        <w:spacing w:after="0" w:line="203"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Under both the Amended uniQure Agreement and the Second uniQure Agreement, uniQure will be required to pay the Company royalties on worldwide annual net sales of Licensed Products at a mid-single digit percentage rate, subject to certain specified reductions. uniQure will also be required to pay the Company sublicensing consideration for sublicensing the Company’s intellectual property rights licensed under the Amended uniQure Agreement or the Second uniQure Agreement to third parties at a rate between the mid-single digit to mid-twenties. The Company has reciprocal obligations, at the same percentage rates as uniQure, to pay uniQure royalties and sublicensing consideration for sublicensing certain intellectual property rights licensed under the Amended uniQure Agreement or the Second uniQure Agreement to third parties.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0" w:name="page151"/>
    <w:bookmarkEnd w:id="150"/>
    <w:p>
      <w:pPr>
        <w:jc w:val="both"/>
        <w:ind w:firstLine="637"/>
        <w:spacing w:after="0" w:line="237" w:lineRule="auto"/>
        <w:rPr>
          <w:sz w:val="20"/>
          <w:szCs w:val="20"/>
          <w:color w:val="auto"/>
        </w:rPr>
      </w:pPr>
      <w:r>
        <w:rPr>
          <w:rFonts w:ascii="Arial" w:cs="Arial" w:eastAsia="Arial" w:hAnsi="Arial"/>
          <w:sz w:val="18"/>
          <w:szCs w:val="18"/>
          <w:color w:val="auto"/>
        </w:rPr>
        <w:t>The Company concluded that the Amended uniQure Agreement and the Second uniQure Agreement should be accounted for as one combined contract that should be accounted for as a separate contract from the uniQure Agreement given that the incremental licensed intellectual property rights and research and development services are distinct from the rights and services previously transferred to uniQure under the uniQure Agreement and the transaction price increased by an amount that equals the standalone selling price of the incremental rights and services to be transferred to uniQure under the Amended uniQure Agreement and Second uniQure Agreement.</w:t>
      </w:r>
    </w:p>
    <w:p>
      <w:pPr>
        <w:spacing w:after="0" w:line="20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Neither party was required to pay monetary consideration in connection with the execution of the Amended uniQure Agreement or the Second uniQure Agreement or for subsequent performance by the parties under those agreements, notwithstanding the potential future royalty and sublicense consideration described above. The fair value of the non-monetary consideration given by uniQure to the Company, for the intellectual property right is $5.1 million. This intellectual property right is considered to be an in-process research and development asset with no alternative future use and, accordingly, was written off as acquired in-process research and development expense in the year ended December 31, 2019.</w:t>
      </w:r>
    </w:p>
    <w:p>
      <w:pPr>
        <w:spacing w:after="0" w:line="203"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incremental transaction price described in the paragraph above was recorded as deferred revenue given that the Company identified one single combined performance obligation under ASC 606, which includes the licenses to the New Variants, research services and participation in the joint steering committee (“JSC”). Revenue is being recognized using the input method based on actual costs incurred as a percentage of total budgeted costs as the Company completes its performance obligation. Based on the current estimated timelines, the deferred revenue is expected to be recognized as revenue in 2023.</w:t>
      </w:r>
    </w:p>
    <w:p>
      <w:pPr>
        <w:spacing w:after="0" w:line="20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determined the transaction price using the risk adjusted net present value analysis (“rNPV”) methodology to value the elimination of the uniQure exclusivity clause and other material rights received by the Company, including the potential royalties the Company would receive from uniQure. The rNPVs incorporate estimates and assumptions including the number of products the Company and uniQure would develop, the risk-adjusted probability of successfully developing a biopharmaceutical product, the probability that uniQure will develop a product, the research and development costs, the potential worldwide sales and associated commercialization costs, corporate tax rate, and discount rate.</w:t>
      </w:r>
    </w:p>
    <w:p>
      <w:pPr>
        <w:spacing w:after="0" w:line="189"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During the years ended December 31, 2022 and 2021, the Company recognized revenue of $3.1 million and $0.7 million under the Amended uniQure Agreement and the Second uniQure Agreement, respectively. As of December 31, 2022 and 2021, deferred revenue relating to uniQure was $0.6 million and $3.7 million, respectively. During the year ended December 31, 2022, the decrease in total budgeted costs for the remaining performance obligation resulted in a $2.2 million increase in revenue recognized related to the performance obligation partially satisfied prior to January 1, 2022</w:t>
      </w:r>
      <w:r>
        <w:rPr>
          <w:rFonts w:ascii="Arial" w:cs="Arial" w:eastAsia="Arial" w:hAnsi="Arial"/>
          <w:sz w:val="19"/>
          <w:szCs w:val="19"/>
          <w:color w:val="498205"/>
        </w:rPr>
        <w:t>.</w:t>
      </w:r>
      <w:r>
        <w:rPr>
          <w:rFonts w:ascii="Arial" w:cs="Arial" w:eastAsia="Arial" w:hAnsi="Arial"/>
          <w:sz w:val="18"/>
          <w:szCs w:val="18"/>
          <w:color w:val="auto"/>
        </w:rPr>
        <w:t xml:space="preserve"> There were no amounts due from uniQure under the uniQure Agreement, Amended uniQure Agreement or Second uniQure Agreement as of December 31, 2022 and 2021. As of December 31, 2022 and 2021, the aggregate amount of the transaction price allocated to the remaining performance obligation was $0.6 million and $3.7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CRF</w:t>
      </w:r>
    </w:p>
    <w:p>
      <w:pPr>
        <w:spacing w:after="0" w:line="125"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November 2015, the Company entered into a research funding and collaboration agreement (the “CRF Agreement”) with the Choroideremia Research Foundation (“CRF”), a non-profit organization dedicated to finding a cure for choroideremia, a rare inherited disorder that causes progressive vision loss, ultimately leading to complete blindness. The goal of the CRF Agreement is for CRF to contribute funding to help with the advancement of the Company’s choroideremia research program. The Company is responsible for all decision making and execution of any and all of the related activities to be completed in its sole discretion. The initial term of the CRF Research Plan is two years. The agreement includes contribution by the Company to CRF of up to $2.5 million upon certain development or approval milestones. The overall arrangement has automatic extensions of up to three additional years. As of December 31, 2022, no milestones have been achieved.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1" w:name="page152"/>
    <w:bookmarkEnd w:id="151"/>
    <w:p>
      <w:pPr>
        <w:jc w:val="both"/>
        <w:ind w:firstLine="644"/>
        <w:spacing w:after="0"/>
        <w:rPr>
          <w:sz w:val="20"/>
          <w:szCs w:val="20"/>
          <w:color w:val="auto"/>
        </w:rPr>
      </w:pPr>
      <w:r>
        <w:rPr>
          <w:rFonts w:ascii="Arial" w:cs="Arial" w:eastAsia="Arial" w:hAnsi="Arial"/>
          <w:sz w:val="18"/>
          <w:szCs w:val="18"/>
          <w:color w:val="auto"/>
        </w:rPr>
        <w:t>Revenue was fully recognized for this agreement in the year ended December 31, 2017. There was no deferred revenue relating to the CRF Agreement as of December 31, 2022 and 2021. No amount was due from or to CRF under the CRF Agreement as of December 31, 2022 and 2021.</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w:t>
      </w:r>
    </w:p>
    <w:p>
      <w:pPr>
        <w:spacing w:after="0" w:line="125"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In November 2017, the Company entered into a collaboration and license agreement with F. Hoffmann-La Roche Ltd and Hoffmann-La Roche Inc. (together, “Roche”) to discover and develop products containing optimized next generation AAV Vectors focused on ophthalmological diseases and disorders excluding select criteria (the “2017 Roche Agreement”). The Company and Roche both have the ability to nominate products to discover, develop and commercialize.</w:t>
      </w:r>
    </w:p>
    <w:p>
      <w:pPr>
        <w:spacing w:after="0" w:line="20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At the effective date of the 2017 Roche Agreement, choroideremia was designated a Roche product class and the 4D-110 product was licensed to Roche. The Company was responsible for conducting research and development services prior to pivotal clinical studies, and Roche was responsible for conducting subsequent development and commercialization activities. In addition, Roche agreed to pay for research and development services at the agreed upon full-time employee rate for work performed for choroideremia under the 2017 Roche Agreement, and certain external costs, except for the costs associated with the manufacturing work for choroideremia.</w:t>
      </w:r>
    </w:p>
    <w:p>
      <w:pPr>
        <w:spacing w:after="0" w:line="20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Under the 2017 Roche Agreement, Roche had an option, exercisable prior to pivotal clinical studies, to license 4D-125 (for the treatment of XLRP), which was not exercised.</w:t>
      </w:r>
    </w:p>
    <w:p>
      <w:pPr>
        <w:spacing w:after="0" w:line="198"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Pursuant to the 2017 Roche Agreement, the Company received a non-refundable upfront payment of $21.0 million as consideration. In addition, the Company was entitled to contingent payments including (i) $1.0 million for each Roche nominated product beyond the first three, (ii) up to $30.0 million upon exercise of the option to convert a product the Company nominated and developed prior to pivotal clinical studies, (iii) development milestone payments of up to $223.0 million, of which $86.0 million related to choroideremia and the rest related to other licensed products; and (iv) sales-based milestones of up to $123.0 million in connection with licensed products. Through December 31, 2022, the Company received $10.0 million for development milestone payments that are non-refundable. The 2017 Roche Agreement also included provisions that entitled the Company to receive royalty payments ranging from the mid-single digits to the mid-teens for the net sales of the licensed products, in each case subject to the reductions in accordance with the terms of the agreement.</w:t>
      </w:r>
    </w:p>
    <w:p>
      <w:pPr>
        <w:spacing w:after="0" w:line="206"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identified a single combined performance obligation for the license, research services and participation in the JSC and concluded that Roche’s option did not represent a material right. The Company’s contract with Roche did not include a significant financing component. The Company further concluded that the transaction price should not include the variable consideration related to development milestones as they were considered to be constrained as it was probable that the inclusion of such variable consideration could result in a significant reversal of cumulative revenue in the future. The Company excluded any consideration related to sales-based milestones, including royalties, which would be recognized when the related sales occur. The transaction price and estimated period of performance are re-evaluated at each reporting period and adjusted as needed to reflect changes in the scope of the project, reimbursable expenses and other conditions affecting variable consideration.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2" w:name="page153"/>
    <w:bookmarkEnd w:id="152"/>
    <w:p>
      <w:pPr>
        <w:jc w:val="both"/>
        <w:ind w:firstLine="637"/>
        <w:spacing w:after="0" w:line="236" w:lineRule="auto"/>
        <w:rPr>
          <w:sz w:val="20"/>
          <w:szCs w:val="20"/>
          <w:color w:val="auto"/>
        </w:rPr>
      </w:pPr>
      <w:r>
        <w:rPr>
          <w:rFonts w:ascii="Arial" w:cs="Arial" w:eastAsia="Arial" w:hAnsi="Arial"/>
          <w:sz w:val="18"/>
          <w:szCs w:val="18"/>
          <w:color w:val="auto"/>
        </w:rPr>
        <w:t>In June 2021, the Company received from Roche notice of termination without cause of the 2017 Roche Agreement. The licenses granted by the Company to Roche under the 2017 Roche Agreement terminated in their entirety on September 16, 2021. Therefore, as of September 16, 2021, Roche no longer has a license for 4D-110 for the treatment of choroideremia or any other product class, and the Company is no longer entitled to receive any further milestones or royalties from Roche. In July 2021, the Company notified Roche of the Company’s election to continue development of choroideremia. As a result, in accordance with the terms of the agreement, all rights to 4D-110 data and intellectual property generated under the collaboration reverted to the Company. Under the 2017 Roche Agreement, if the Company is required to initiate a new Phase 1/2a clinical trial for 4D-110, the Company would not owe any royalty to Roche on net sales of 4D-110. If, however, the Company moves directly to a pivotal trial of 4D-110, without first being required to conduct a new Phase 1/2a clinical trial, the Company must pay Roche a mid-single digits percentage royalty on the net sales of 4D-110.</w:t>
      </w:r>
    </w:p>
    <w:p>
      <w:pPr>
        <w:spacing w:after="0" w:line="20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As a result of the termination of the 2017 Roche Agreement, an adjustment of $8.7 million was made to the transaction price to reflect the decrease in reimbursable costs for the year ended December 31, 2021. The decrease in the transaction price and total budgeted costs for the remaining performance obligation resulted in an $11.1 million increase in revenue recognized in the year ended December 31, 2021 related to the performance obligation partially satisfied prior to January 1, 2021. During the year ended December 31, 2021, the Company recognized revenue of $17.2 million from Roche. The Company did not recognize any revenue under the 2017 Roche Agreement during the year ended December 31, 2022. As of December 31, 2022 and 2021, there was no deferred revenue and no accounts receivable relating to the Roche Agreement. As of December 31, 2022 and 2021, the Company had no remaining performance obligation under the 2017 Roche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CFF</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September 2016, the Company entered into an award agreement for the Optimized Adeno-Associated Virus for Lung Epithelia Gene Delivery Development Program with CFF, a non-profit organization dedicated to finding a cure for cystic fibrosis, an inherited disorder that causes disease in the pulmonary airways leading to morbidity and mortality. Under this agreement, CFF contributes funding to help advance the Company’s CF research program. The agreement was subsequently amended in September 2017, August 2018 and February 2021 (all four agreements are collectively referred to as the “CFF Agreement”). The total amount of the award under the CFF Agreement is $3.5 million. As of December 31, 2022 and 2021, the Company achieved milestones totaling $1.8 million and $1.8 million under the CFF Agreement, respectively. The remaining award amount will be paid by CFF based on achievement of certain development milestones by the Company.</w:t>
      </w:r>
    </w:p>
    <w:p>
      <w:pPr>
        <w:spacing w:after="0" w:line="206"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expects to make payments to CFF equal to six times the actual award received by the Company in three installments within the first four years of the first commercial sale of a product developed under this agreement. The Company also has agreed to make future sales-based milestone payments to CFF of up to three times the actual award received upon achieving specified commercialization milestones with respect to the first of any product developed utilizing any compound covered under the CFF Agreement. The CFF Agreement also requires the Company to pay to CFF royalties of a mid-single digit percentage, up to six times the actual award received, on any amounts received by the Company from the sale, license or transfer to a third-party of rights in the technology developed as a result of this collaboration. Any such royalty payments shall be credited against the payments owed by the Company upon first commercial sale. In the event of a change of control of the Company, CFF will receive certain payments, depending on the timing of the change of control and the size of the transaction.</w:t>
      </w:r>
    </w:p>
    <w:p>
      <w:pPr>
        <w:spacing w:after="0" w:line="204"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To date, the Company has not developed a commercial product in connection with the CFF Agreement, and it has not licensed, sold or otherwise transferred to another party the product developed under the CFF Agreement or the underlying technology.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3" w:name="page154"/>
    <w:bookmarkEnd w:id="153"/>
    <w:p>
      <w:pPr>
        <w:jc w:val="both"/>
        <w:ind w:firstLine="637"/>
        <w:spacing w:after="0" w:line="237" w:lineRule="auto"/>
        <w:rPr>
          <w:sz w:val="20"/>
          <w:szCs w:val="20"/>
          <w:color w:val="auto"/>
        </w:rPr>
      </w:pPr>
      <w:r>
        <w:rPr>
          <w:rFonts w:ascii="Arial" w:cs="Arial" w:eastAsia="Arial" w:hAnsi="Arial"/>
          <w:sz w:val="18"/>
          <w:szCs w:val="18"/>
          <w:color w:val="auto"/>
        </w:rPr>
        <w:t>If at any time prior to the first commercial sale of a product developed as a result of the CFF Agreement, the Company ceases to use commercially reasonable efforts to develop or commercialize any product under the CFF Agreement for a continuous period of 180 consecutive days and fails to present a reasonable plan to resume commercially reasonable efforts, the Company will grant to CFF an irrevocable, exclusive worldwide interruption license under all of the Company’s interest in the research plan technology to exploit such product. Any third-party license granted by the Company shall be subject to such interruption license.</w:t>
      </w:r>
    </w:p>
    <w:p>
      <w:pPr>
        <w:spacing w:after="0" w:line="205"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Under ASC 606, the Company identified one performance obligation within the CFF grant agreement for research activities. The Company’s contract with CFF does not include a significant financing component.</w:t>
      </w:r>
    </w:p>
    <w:p>
      <w:pPr>
        <w:spacing w:after="0" w:line="198" w:lineRule="exact"/>
        <w:rPr>
          <w:sz w:val="20"/>
          <w:szCs w:val="20"/>
          <w:color w:val="auto"/>
        </w:rPr>
      </w:pPr>
    </w:p>
    <w:p>
      <w:pPr>
        <w:jc w:val="both"/>
        <w:ind w:firstLine="637"/>
        <w:spacing w:after="0" w:line="254" w:lineRule="auto"/>
        <w:rPr>
          <w:sz w:val="20"/>
          <w:szCs w:val="20"/>
          <w:color w:val="auto"/>
        </w:rPr>
      </w:pPr>
      <w:r>
        <w:rPr>
          <w:rFonts w:ascii="Arial" w:cs="Arial" w:eastAsia="Arial" w:hAnsi="Arial"/>
          <w:sz w:val="17"/>
          <w:szCs w:val="17"/>
          <w:color w:val="auto"/>
        </w:rPr>
        <w:t>The Company concluded that the transaction price should not include the variable consideration related to future research milestones as they were considered to be constrained as it is probable that the inclusion of such variable consideration could result in a significant reversal of cumulative revenue in the future. The Company re-evaluates the transaction price and estimated period of performance at each reporting period. For the year ended December 31, 2021, an adjustment of $0.5 million was made to the transaction price to reflect the achievement of the fourth milestone related to demonstrating GFP expression and determining a cell specific expression profile in human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NHP upper airway ALI cultures following apical transduction under the CFF Agreement.</w:t>
      </w:r>
    </w:p>
    <w:p>
      <w:pPr>
        <w:spacing w:after="0" w:line="225"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Revenue recognized during the years ended December 31, 2022 and 2021 was immaterial. As of December 31, 2022 and 2021, deferred revenue relating to the CFF Agreement was $1.4 million and $1.4 million, respectively. There were no accounts receivable from CFF under the CFF Agreement as of December 31, 2022 and 2021. As of each of December 31, 2022 and 2021, the aggregate amount of the transaction price allocated to the remaining performance obligation was $1.4 million. Based on current timelines, the deferred revenue is expected to be recognized as revenue over the next three years as the Company performs research services through the completion of IND-enabling studies.</w:t>
      </w:r>
    </w:p>
    <w:p>
      <w:pPr>
        <w:spacing w:after="0" w:line="203"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obligation to make payments to CFF upon a change of control meets the definition of an embedded derivative that is required to be bifurcated and separately accounted for as a derivative liability. See Note 15 for further discussion of the embedded derivative.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License Arrangements</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The Company has exclusive, worldwide license agreements (the “UC Agreements”) with the Regents of the University of California (the “UC Regents”) relating to the use of certain patents and intellectual property surrounding its core technologies, including Therapeutic Vector Evolution. Pursuant to each of the UC Agreements executed prior to January 2019, the Company was obligated to pay a (i) non-refundable license fee of $5,000 upon execution, (ii) a non-refundable license fee of $5,000 each year thereafter, until sales of a licensed product are made and royalties are paid to the UC Regents, (iii) reimbursement of domestic and foreign patent filing, prosecution and maintenance fees, and (iv) either $ 50,000 or issuance of a 3% equity interest in the Company upon the closing of the first qualified financing at the option of the UC Regents. The Company’s first qualified financing occurred in 2015 and at the election of the UC Regents, the Company issued the UC Regents in January 2016 an amount of common stock equal to 6% of the equity interests in the Company pursuant to the applicable clause in each of the UC Agreements.</w:t>
      </w:r>
    </w:p>
    <w:p>
      <w:pPr>
        <w:spacing w:after="0" w:line="204" w:lineRule="exact"/>
        <w:rPr>
          <w:sz w:val="20"/>
          <w:szCs w:val="20"/>
          <w:color w:val="auto"/>
        </w:rPr>
      </w:pPr>
    </w:p>
    <w:p>
      <w:pPr>
        <w:jc w:val="both"/>
        <w:ind w:right="20" w:firstLine="637"/>
        <w:spacing w:after="0" w:line="238" w:lineRule="auto"/>
        <w:rPr>
          <w:sz w:val="20"/>
          <w:szCs w:val="20"/>
          <w:color w:val="auto"/>
        </w:rPr>
      </w:pPr>
      <w:r>
        <w:rPr>
          <w:rFonts w:ascii="Arial" w:cs="Arial" w:eastAsia="Arial" w:hAnsi="Arial"/>
          <w:sz w:val="18"/>
          <w:szCs w:val="18"/>
          <w:color w:val="auto"/>
        </w:rPr>
        <w:t>Pursuant to an agreement with the UC Regents executed in January 2019 the Company paid a non-refundable license fee of $50,000 to the UC Regents upon execution of the agreement. The Company is obligated to pay a non-refundable license fee of $5,000 on the one-year anniversary of the contract effective date and each year thereafter, until sales of a licensed product are made and royalties are paid to the UC Regents.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54" w:name="page155"/>
    <w:bookmarkEnd w:id="154"/>
    <w:p>
      <w:pPr>
        <w:ind w:left="640"/>
        <w:spacing w:after="0"/>
        <w:rPr>
          <w:sz w:val="20"/>
          <w:szCs w:val="20"/>
          <w:color w:val="auto"/>
        </w:rPr>
      </w:pPr>
      <w:r>
        <w:rPr>
          <w:rFonts w:ascii="Arial" w:cs="Arial" w:eastAsia="Arial" w:hAnsi="Arial"/>
          <w:sz w:val="18"/>
          <w:szCs w:val="18"/>
          <w:color w:val="auto"/>
        </w:rPr>
        <w:t>In addition, the Company is obligated to make certain contingent payments including (i) development milestones up to $3.1 million,</w:t>
      </w:r>
    </w:p>
    <w:p>
      <w:pPr>
        <w:jc w:val="both"/>
        <w:ind w:firstLine="8"/>
        <w:spacing w:after="0" w:line="238" w:lineRule="auto"/>
        <w:tabs>
          <w:tab w:leader="none" w:pos="2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low single digit royalties on the net sales of its developed products that consists of a minimum annual royalty of up to $0.1 million per year for the term of the Agreement beginning in the first calendar year after the year in which net sales first occurred, and (iii) sublicense consideration in the mid-teens to the mid-twenties-range on any future sublicensing arrangements the Company may enter into with third-party licensees.</w:t>
      </w:r>
    </w:p>
    <w:p>
      <w:pPr>
        <w:spacing w:after="0" w:line="204"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July 2021, the Company entered into an exclusive license agreement with the UC Regents and the Trustees of the University Pennsylvania to license intellectual property related to certain vectors. In July 2021, the Company paid a non-refundable license fee of $100,000 to the UC Regents upon execution of the agreement. The Company is obligated to pay a non-refundable license maintenance fee of $10,000 on the one-year anniversary of the contract effective date and each year thereafter, except years for which the Company has paid royalties on the net sales of a licensed product. In addition, the Company is obligated to make certain contingent payments including (i) development milestones up to $3.9 million, (ii) low single digit percentage rate royalties on the net sales of its licensed products that consists of a minimum annual royalty of up to $0.1 million per year for the term of the Agreement beginning in the first calendar year after the year in which net sales first occurred and (iii) sublicense consideration in the mid-single digits to the low twenties percentage rate range on any future sublicensing arrangements the Company may enter into with third-party licensees.</w:t>
      </w:r>
    </w:p>
    <w:p>
      <w:pPr>
        <w:spacing w:after="0" w:line="204"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During the years ended December 31, 2022 and 2021, the Company incurred expenses of $0.2 million and $0.3 million, respectively, under the provisions of the outstanding license arrangements.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Commitments and Contingencies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5980 Horton Street Building Lease</w:t>
      </w:r>
    </w:p>
    <w:p>
      <w:pPr>
        <w:spacing w:after="0" w:line="121"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In May 2015, the Company executed a lease agreement for office and laboratory space in Emeryville, California. In January 2016, the Company executed the first amendment to the lease agreement for additional rentable office and laboratory space which extended the lease term to March 31, 2023 and updated the option to renew the lease at market rent from the prior additional term of three years to five years. In October 2018, the Company executed a second amendment to extend the lease to September 2026. Additionally, the second amendment provided a tenant improvement allowance of $0.2 million, which was paid to the Company in November 2018.</w:t>
      </w:r>
    </w:p>
    <w:p>
      <w:pPr>
        <w:spacing w:after="0" w:line="205"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5980 Horton Street Building Lease is considered an operating lease under ASC 842 as it does not meet the criteria of a finance lease. As of December 31, 2022, the operating lease right-of-use asset and operating lease liability was $1.6 million and $1.9 million, respectively. The discount rate used to determine the lease liability was 7.5%.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5858 Horton Street Building Lease and Expansion</w:t>
      </w:r>
    </w:p>
    <w:p>
      <w:pPr>
        <w:spacing w:after="0" w:line="229"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In October 2018, the Company executed a second lease agreement for additional office and laboratory space in Emeryville, California. The new lease has an initial term of 87 months beginning on the rent commencement date with the option to renew the lease for one additional term of five years at market rent. The Company did not have to pay rent until October 2019. This lease agreement also provided for a tenant improvement allowance of $0.4 million, which was paid to the Company in December 2019. The Company amortizes the tenant improvement allowance on a straight-line basis over the remaining term of the lease as a reduction of rent expense.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55" w:name="page156"/>
    <w:bookmarkEnd w:id="155"/>
    <w:p>
      <w:pPr>
        <w:jc w:val="both"/>
        <w:ind w:right="60" w:firstLine="637"/>
        <w:spacing w:after="0" w:line="236" w:lineRule="auto"/>
        <w:rPr>
          <w:sz w:val="20"/>
          <w:szCs w:val="20"/>
          <w:color w:val="auto"/>
        </w:rPr>
      </w:pPr>
      <w:r>
        <w:rPr>
          <w:rFonts w:ascii="Arial" w:cs="Arial" w:eastAsia="Arial" w:hAnsi="Arial"/>
          <w:sz w:val="18"/>
          <w:szCs w:val="18"/>
          <w:color w:val="auto"/>
        </w:rPr>
        <w:t>In May 2019, the Company amended the second lease agreement executed in October 2018 to add additional office, manufacturing and laboratory space (the “Expansion”). The amendment extended the term of the lease to December 31, 2029. The Company did not have to pay rent until December 2019. The lease agreement also included a tenant improvement allowance, which was increased to $2.3 million in February 2021 pursuant to a second amendment to the second lease agreement. As of December 31, 2022 the Company has received $1.9 million of this tenant improvement allowance. The tenant improvement allowance funds improvements to the additional office, manufacturing and laboratory space, which the Company has determined to be lessee owned. The allowance is treated as a reduction of lease payments used to measure the lease liability.</w:t>
      </w:r>
    </w:p>
    <w:p>
      <w:pPr>
        <w:spacing w:after="0" w:line="193" w:lineRule="exact"/>
        <w:rPr>
          <w:sz w:val="20"/>
          <w:szCs w:val="20"/>
          <w:color w:val="auto"/>
        </w:rPr>
      </w:pPr>
    </w:p>
    <w:p>
      <w:pPr>
        <w:jc w:val="both"/>
        <w:ind w:right="60" w:firstLine="644"/>
        <w:spacing w:after="0"/>
        <w:rPr>
          <w:sz w:val="20"/>
          <w:szCs w:val="20"/>
          <w:color w:val="auto"/>
        </w:rPr>
      </w:pPr>
      <w:r>
        <w:rPr>
          <w:rFonts w:ascii="Arial" w:cs="Arial" w:eastAsia="Arial" w:hAnsi="Arial"/>
          <w:sz w:val="18"/>
          <w:szCs w:val="18"/>
          <w:color w:val="auto"/>
        </w:rPr>
        <w:t>The 5858 Horton Street Building Lease and Expansion is considered an operating lease under ASC 842 as it does not meet the criteria of a finance lease. As of December 31, 2022, the operating lease right-of-use asset and operating lease liability was $11.5 million and $14.3 million, respectively. The discount rate used to determine the lease liability was 7.8%.</w:t>
      </w:r>
    </w:p>
    <w:p>
      <w:pPr>
        <w:spacing w:after="0" w:line="188" w:lineRule="exact"/>
        <w:rPr>
          <w:sz w:val="20"/>
          <w:szCs w:val="20"/>
          <w:color w:val="auto"/>
        </w:rPr>
      </w:pPr>
    </w:p>
    <w:p>
      <w:pPr>
        <w:jc w:val="both"/>
        <w:ind w:right="60" w:firstLine="644"/>
        <w:spacing w:after="0" w:line="245" w:lineRule="auto"/>
        <w:rPr>
          <w:sz w:val="20"/>
          <w:szCs w:val="20"/>
          <w:color w:val="auto"/>
        </w:rPr>
      </w:pPr>
      <w:r>
        <w:rPr>
          <w:rFonts w:ascii="Arial" w:cs="Arial" w:eastAsia="Arial" w:hAnsi="Arial"/>
          <w:sz w:val="18"/>
          <w:szCs w:val="18"/>
          <w:color w:val="auto"/>
        </w:rPr>
        <w:t>Total operating lease cost for the years ended December 31, 2022 and 2021 was $2.8 million and $2.6 million, respectively. Cash paid for amounts included in the measurement of lease liabilities was $3.0 million for the year ended December 31, 2022.</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of the leases include a general option for the Company to terminate the leases.</w:t>
      </w:r>
    </w:p>
    <w:p>
      <w:pPr>
        <w:spacing w:after="0" w:line="211" w:lineRule="exact"/>
        <w:rPr>
          <w:sz w:val="20"/>
          <w:szCs w:val="20"/>
          <w:color w:val="auto"/>
        </w:rPr>
      </w:pPr>
    </w:p>
    <w:p>
      <w:pPr>
        <w:jc w:val="both"/>
        <w:ind w:right="60" w:firstLine="637"/>
        <w:spacing w:after="0" w:line="245" w:lineRule="auto"/>
        <w:rPr>
          <w:sz w:val="20"/>
          <w:szCs w:val="20"/>
          <w:color w:val="auto"/>
        </w:rPr>
      </w:pPr>
      <w:r>
        <w:rPr>
          <w:rFonts w:ascii="Arial" w:cs="Arial" w:eastAsia="Arial" w:hAnsi="Arial"/>
          <w:sz w:val="18"/>
          <w:szCs w:val="18"/>
          <w:color w:val="auto"/>
        </w:rPr>
        <w:t>The following table summarizes the components of lease expense for the years ended December 31, 2022 and 2021, which are included in operating expenses in the Company’s statements of operations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75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1300" w:type="dxa"/>
            <w:vAlign w:val="bottom"/>
            <w:gridSpan w:val="2"/>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FF0FC"/>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r>
      <w:tr>
        <w:trPr>
          <w:trHeight w:val="263"/>
        </w:trPr>
        <w:tc>
          <w:tcPr>
            <w:tcW w:w="7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2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5793105</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right="80" w:firstLine="637"/>
        <w:spacing w:after="0" w:line="245" w:lineRule="auto"/>
        <w:rPr>
          <w:sz w:val="20"/>
          <w:szCs w:val="20"/>
          <w:color w:val="auto"/>
        </w:rPr>
      </w:pPr>
      <w:r>
        <w:rPr>
          <w:rFonts w:ascii="Arial" w:cs="Arial" w:eastAsia="Arial" w:hAnsi="Arial"/>
          <w:sz w:val="18"/>
          <w:szCs w:val="18"/>
          <w:color w:val="auto"/>
        </w:rPr>
        <w:t>Variable lease payments include amounts relating to common area maintenance and are recognized in the statements of operations as incurred.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supplemental information related to operating leases:</w:t>
      </w:r>
    </w:p>
    <w:p>
      <w:pPr>
        <w:spacing w:after="0" w:line="19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20" w:type="dxa"/>
            <w:vAlign w:val="bottom"/>
          </w:tcPr>
          <w:p>
            <w:pPr>
              <w:spacing w:after="0"/>
              <w:rPr>
                <w:sz w:val="15"/>
                <w:szCs w:val="15"/>
                <w:color w:val="auto"/>
              </w:rPr>
            </w:pPr>
          </w:p>
        </w:tc>
        <w:tc>
          <w:tcPr>
            <w:tcW w:w="13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9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520" w:type="dxa"/>
            <w:vAlign w:val="bottom"/>
            <w:gridSpan w:val="3"/>
          </w:tcPr>
          <w:p>
            <w:pPr>
              <w:spacing w:after="0"/>
              <w:rPr>
                <w:sz w:val="20"/>
                <w:szCs w:val="20"/>
                <w:color w:val="auto"/>
              </w:rPr>
            </w:pPr>
            <w:r>
              <w:rPr>
                <w:rFonts w:ascii="Arial" w:cs="Arial" w:eastAsia="Arial" w:hAnsi="Arial"/>
                <w:sz w:val="18"/>
                <w:szCs w:val="18"/>
                <w:color w:val="auto"/>
              </w:rPr>
              <w:t>7.8 %</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7.8 %</w:t>
            </w:r>
          </w:p>
        </w:tc>
      </w:tr>
      <w:tr>
        <w:trPr>
          <w:trHeight w:val="431"/>
        </w:trPr>
        <w:tc>
          <w:tcPr>
            <w:tcW w:w="9000" w:type="dxa"/>
            <w:vAlign w:val="bottom"/>
            <w:gridSpan w:val="2"/>
          </w:tcPr>
          <w:p>
            <w:pPr>
              <w:ind w:left="640"/>
              <w:spacing w:after="0"/>
              <w:rPr>
                <w:sz w:val="20"/>
                <w:szCs w:val="20"/>
                <w:color w:val="auto"/>
              </w:rPr>
            </w:pPr>
            <w:r>
              <w:rPr>
                <w:rFonts w:ascii="Arial" w:cs="Arial" w:eastAsia="Arial" w:hAnsi="Arial"/>
                <w:sz w:val="18"/>
                <w:szCs w:val="18"/>
                <w:color w:val="auto"/>
                <w:w w:val="99"/>
              </w:rPr>
              <w:t>The following table summarizes the maturities of lease liabilities as of December 31, 2022 (in thousands):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7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38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2024</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2026</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90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(4,744 )</w:t>
            </w:r>
          </w:p>
        </w:tc>
        <w:tc>
          <w:tcPr>
            <w:tcW w:w="60" w:type="dxa"/>
            <w:vAlign w:val="bottom"/>
          </w:tcPr>
          <w:p>
            <w:pPr>
              <w:spacing w:after="0"/>
              <w:rPr>
                <w:sz w:val="19"/>
                <w:szCs w:val="19"/>
                <w:color w:val="auto"/>
              </w:rPr>
            </w:pPr>
          </w:p>
        </w:tc>
      </w:tr>
      <w:tr>
        <w:trPr>
          <w:trHeight w:val="223"/>
        </w:trPr>
        <w:tc>
          <w:tcPr>
            <w:tcW w:w="90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Present value of future minimum lease payments</w:t>
            </w:r>
          </w:p>
        </w:tc>
        <w:tc>
          <w:tcPr>
            <w:tcW w:w="240" w:type="dxa"/>
            <w:vAlign w:val="bottom"/>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9000" w:type="dxa"/>
            <w:vAlign w:val="bottom"/>
            <w:gridSpan w:val="2"/>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90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Long-term portion of operating lease liabilities</w:t>
            </w:r>
          </w:p>
        </w:tc>
        <w:tc>
          <w:tcPr>
            <w:tcW w:w="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13,469</w:t>
            </w: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628"/>
        </w:trPr>
        <w:tc>
          <w:tcPr>
            <w:tcW w:w="9000" w:type="dxa"/>
            <w:vAlign w:val="bottom"/>
            <w:tcBorders>
              <w:top w:val="single" w:sz="8" w:color="CFF0FC"/>
            </w:tcBorders>
            <w:gridSpan w:val="2"/>
          </w:tcPr>
          <w:p>
            <w:pPr>
              <w:ind w:left="5440"/>
              <w:spacing w:after="0"/>
              <w:rPr>
                <w:sz w:val="20"/>
                <w:szCs w:val="20"/>
                <w:color w:val="auto"/>
              </w:rPr>
            </w:pPr>
            <w:r>
              <w:rPr>
                <w:rFonts w:ascii="Arial" w:cs="Arial" w:eastAsia="Arial" w:hAnsi="Arial"/>
                <w:sz w:val="18"/>
                <w:szCs w:val="18"/>
                <w:color w:val="auto"/>
              </w:rPr>
              <w:t>F-24</w:t>
            </w:r>
          </w:p>
        </w:tc>
        <w:tc>
          <w:tcPr>
            <w:tcW w:w="24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76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70" w:right="2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Indemnification Agreements</w:t>
      </w:r>
    </w:p>
    <w:p>
      <w:pPr>
        <w:spacing w:after="0" w:line="125" w:lineRule="exact"/>
        <w:rPr>
          <w:sz w:val="20"/>
          <w:szCs w:val="20"/>
          <w:color w:val="auto"/>
        </w:rPr>
      </w:pPr>
    </w:p>
    <w:p>
      <w:pPr>
        <w:jc w:val="both"/>
        <w:ind w:right="100" w:firstLine="644"/>
        <w:spacing w:after="0" w:line="236"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such as with vendors and other parties.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Delaware corporate law. The Company currently maintains directors’ and officers’ liability insurance that would generally enable it to recover a portion of any future amounts paid. The Company believes the estimated fair value of its indemnification agreements in excess of applicable insurance coverage is not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5" w:lineRule="exact"/>
        <w:rPr>
          <w:sz w:val="20"/>
          <w:szCs w:val="20"/>
          <w:color w:val="auto"/>
        </w:rPr>
      </w:pPr>
    </w:p>
    <w:p>
      <w:pPr>
        <w:jc w:val="both"/>
        <w:ind w:right="100" w:firstLine="644"/>
        <w:spacing w:after="0" w:line="237" w:lineRule="auto"/>
        <w:rPr>
          <w:sz w:val="20"/>
          <w:szCs w:val="20"/>
          <w:color w:val="auto"/>
        </w:rPr>
      </w:pPr>
      <w:r>
        <w:rPr>
          <w:rFonts w:ascii="Arial" w:cs="Arial" w:eastAsia="Arial" w:hAnsi="Arial"/>
          <w:sz w:val="18"/>
          <w:szCs w:val="18"/>
          <w:color w:val="auto"/>
        </w:rPr>
        <w:t>From time to time, the Company may become involved in legal proceedings arising from the ordinary course of its business. If applicable, the Company records a legal liability when it believes that it is both probable that a liability may be imputed, and the amount of the liability can be reasonably estimated. Significant judgment by the Company is required to determine both probability and the estimated amount. There are no material legal proceedings outstanding at December 31, 2022. See Note 13 for details of a settlement with a former employee in April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Income Taxes</w:t>
      </w:r>
    </w:p>
    <w:p>
      <w:pPr>
        <w:spacing w:after="0" w:line="125" w:lineRule="exact"/>
        <w:rPr>
          <w:sz w:val="20"/>
          <w:szCs w:val="20"/>
          <w:color w:val="auto"/>
        </w:rPr>
      </w:pPr>
    </w:p>
    <w:p>
      <w:pPr>
        <w:jc w:val="both"/>
        <w:ind w:right="100" w:firstLine="637"/>
        <w:spacing w:after="0"/>
        <w:rPr>
          <w:sz w:val="20"/>
          <w:szCs w:val="20"/>
          <w:color w:val="auto"/>
        </w:rPr>
      </w:pPr>
      <w:r>
        <w:rPr>
          <w:rFonts w:ascii="Arial" w:cs="Arial" w:eastAsia="Arial" w:hAnsi="Arial"/>
          <w:sz w:val="18"/>
          <w:szCs w:val="18"/>
          <w:color w:val="auto"/>
        </w:rPr>
        <w:t>The Company did not record any income tax expense during the years ended December 31, 2022 and 2021. The Company has a net operating loss and has provided a valuation allowance against net deferred tax assets due to uncertainties regarding the Company’s ability to realize these assets. All losses before income taxes arose in the United States.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effective tax rate of the Company’s income tax expense (benefit) differs from the federal statutory rate as follows:</w:t>
      </w:r>
    </w:p>
    <w:p>
      <w:pPr>
        <w:spacing w:after="0" w:line="26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17780</wp:posOffset>
            </wp:positionV>
            <wp:extent cx="22434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2243455" cy="825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Federal statutory income tax rate</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21.0 %</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Research tax credit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1.5 %</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2.1 %</w:t>
            </w:r>
          </w:p>
        </w:tc>
      </w:tr>
      <w:tr>
        <w:trPr>
          <w:trHeight w:val="229"/>
        </w:trPr>
        <w:tc>
          <w:tcPr>
            <w:tcW w:w="8700" w:type="dxa"/>
            <w:vAlign w:val="bottom"/>
            <w:gridSpan w:val="2"/>
          </w:tcPr>
          <w:p>
            <w:pPr>
              <w:ind w:left="20"/>
              <w:spacing w:after="0"/>
              <w:rPr>
                <w:sz w:val="20"/>
                <w:szCs w:val="20"/>
                <w:color w:val="auto"/>
              </w:rPr>
            </w:pPr>
            <w:r>
              <w:rPr>
                <w:rFonts w:ascii="Arial" w:cs="Arial" w:eastAsia="Arial" w:hAnsi="Arial"/>
                <w:sz w:val="18"/>
                <w:szCs w:val="18"/>
                <w:color w:val="auto"/>
              </w:rPr>
              <w:t>Permanent differences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0.4 %</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(23.5 )%</w:t>
            </w:r>
          </w:p>
        </w:tc>
      </w:tr>
      <w:tr>
        <w:trPr>
          <w:trHeight w:val="20"/>
        </w:trPr>
        <w:tc>
          <w:tcPr>
            <w:tcW w:w="7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0.0 %</w:t>
            </w:r>
          </w:p>
        </w:tc>
      </w:tr>
      <w:tr>
        <w:trPr>
          <w:trHeight w:val="20"/>
        </w:trPr>
        <w:tc>
          <w:tcPr>
            <w:tcW w:w="7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8700" w:type="dxa"/>
            <w:vAlign w:val="bottom"/>
            <w:gridSpan w:val="2"/>
          </w:tcPr>
          <w:p>
            <w:pPr>
              <w:ind w:left="5440"/>
              <w:spacing w:after="0"/>
              <w:rPr>
                <w:sz w:val="20"/>
                <w:szCs w:val="20"/>
                <w:color w:val="auto"/>
              </w:rPr>
            </w:pPr>
            <w:r>
              <w:rPr>
                <w:rFonts w:ascii="Arial" w:cs="Arial" w:eastAsia="Arial" w:hAnsi="Arial"/>
                <w:sz w:val="18"/>
                <w:szCs w:val="18"/>
                <w:color w:val="auto"/>
              </w:rPr>
              <w:t>F-25</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76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-1249680</wp:posOffset>
            </wp:positionV>
            <wp:extent cx="7132320" cy="145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656" w:right="239" w:bottom="1440" w:gutter="0" w:footer="0" w:header="0"/>
        </w:sectPr>
      </w:pPr>
    </w:p>
    <w:bookmarkStart w:id="157" w:name="page158"/>
    <w:bookmarkEnd w:id="157"/>
    <w:p>
      <w:pPr>
        <w:ind w:left="64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taxes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6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37,295</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accrued liabilities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tax credits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8,078</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 basis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Capitalized research expenditures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deferred tax assets</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86,582</w:t>
            </w: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54,288</w:t>
            </w:r>
          </w:p>
        </w:tc>
        <w:tc>
          <w:tcPr>
            <w:tcW w:w="100" w:type="dxa"/>
            <w:vAlign w:val="bottom"/>
            <w:tcBorders>
              <w:top w:val="single" w:sz="8" w:color="CFF0FC"/>
            </w:tcBorders>
          </w:tcPr>
          <w:p>
            <w:pPr>
              <w:spacing w:after="0"/>
              <w:rPr>
                <w:sz w:val="19"/>
                <w:szCs w:val="19"/>
                <w:color w:val="auto"/>
              </w:rPr>
            </w:pPr>
          </w:p>
        </w:tc>
      </w:tr>
      <w:tr>
        <w:trPr>
          <w:trHeight w:val="223"/>
        </w:trPr>
        <w:tc>
          <w:tcPr>
            <w:tcW w:w="7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ind w:left="280"/>
              <w:spacing w:after="0"/>
              <w:rPr>
                <w:sz w:val="20"/>
                <w:szCs w:val="20"/>
                <w:color w:val="auto"/>
              </w:rPr>
            </w:pPr>
            <w:r>
              <w:rPr>
                <w:rFonts w:ascii="Arial" w:cs="Arial" w:eastAsia="Arial" w:hAnsi="Arial"/>
                <w:sz w:val="18"/>
                <w:szCs w:val="18"/>
                <w:color w:val="auto"/>
              </w:rPr>
              <w:t>Operating lease right-of-use assets</w:t>
            </w:r>
          </w:p>
        </w:tc>
        <w:tc>
          <w:tcPr>
            <w:tcW w:w="960" w:type="dxa"/>
            <w:vAlign w:val="bottom"/>
          </w:tcPr>
          <w:p>
            <w:pPr>
              <w:jc w:val="right"/>
              <w:ind w:right="753"/>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(3,600 )</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(3,064 )</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(1,556 )</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(992 )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960" w:type="dxa"/>
            <w:vAlign w:val="bottom"/>
            <w:shd w:val="clear" w:color="auto" w:fill="CFF0FC"/>
          </w:tcPr>
          <w:p>
            <w:pPr>
              <w:jc w:val="right"/>
              <w:ind w:right="753"/>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(5,156 )</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(4,056 )</w:t>
            </w:r>
          </w:p>
        </w:tc>
      </w:tr>
      <w:tr>
        <w:trPr>
          <w:trHeight w:val="20"/>
        </w:trPr>
        <w:tc>
          <w:tcPr>
            <w:tcW w:w="7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4"/>
              </w:rPr>
              <w:t>(81,426 )</w:t>
            </w:r>
          </w:p>
        </w:tc>
        <w:tc>
          <w:tcPr>
            <w:tcW w:w="180" w:type="dxa"/>
            <w:vAlign w:val="bottom"/>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(50,232 )</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net deferred tax</w:t>
            </w:r>
          </w:p>
        </w:tc>
        <w:tc>
          <w:tcPr>
            <w:tcW w:w="960" w:type="dxa"/>
            <w:vAlign w:val="bottom"/>
            <w:tcBorders>
              <w:top w:val="single" w:sz="8" w:color="auto"/>
              <w:bottom w:val="single" w:sz="8" w:color="auto"/>
            </w:tcBorders>
          </w:tcPr>
          <w:p>
            <w:pPr>
              <w:jc w:val="right"/>
              <w:ind w:right="75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-1232535</wp:posOffset>
            </wp:positionV>
            <wp:extent cx="68580" cy="307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3079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-487680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-333375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-179070</wp:posOffset>
            </wp:positionV>
            <wp:extent cx="68580"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4"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future tax benefits is currently not likely to be realized and, accordingly, has provided a full valuation allowance. The valuation allowance increased by $31.2 million during 2022 and $17.4 million during the year ended December 31, 2021. The increase in the valuation allowance for each of the years ended December 31, 2022 and 2021 was primarily driven by net losses incurred, stock-based compensation expense and tax credits generated within the U.S.</w:t>
      </w:r>
    </w:p>
    <w:p>
      <w:pPr>
        <w:spacing w:after="0" w:line="193"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The Company had net operating loss (“NOL”) carryforwards of $212.9 million and $177.5 million as of December 31, 2022 and 2021, respectively, available to reduce future taxable income, if any, for federal income tax purposes. $9.5 million of the federal NOL carryforwards expire in 2037 and the remaining $203.4 million carryforward indefinitely.</w:t>
      </w:r>
    </w:p>
    <w:p>
      <w:pPr>
        <w:spacing w:after="0" w:line="188"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As of December 31, 2022 and 2021, the Company had federal research and development credit carryforwards of $11.9 million and $8.6 million, respectively, and state research and development credit carryforwards of $7.9 million and $5.9 million, respectively, available to reduce future taxable income, if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8" w:name="page159"/>
    <w:bookmarkEnd w:id="158"/>
    <w:p>
      <w:pPr>
        <w:jc w:val="both"/>
        <w:spacing w:after="0" w:line="245" w:lineRule="auto"/>
        <w:rPr>
          <w:sz w:val="20"/>
          <w:szCs w:val="20"/>
          <w:color w:val="auto"/>
        </w:rPr>
      </w:pPr>
      <w:r>
        <w:rPr>
          <w:rFonts w:ascii="Arial" w:cs="Arial" w:eastAsia="Arial" w:hAnsi="Arial"/>
          <w:sz w:val="18"/>
          <w:szCs w:val="18"/>
          <w:color w:val="auto"/>
        </w:rPr>
        <w:t>any, for federal and California state income tax purposes, respectively. The federal credit carryforwards begin expiring in 2035 and the state credits carryforward indefinitely.</w:t>
      </w:r>
    </w:p>
    <w:p>
      <w:pPr>
        <w:spacing w:after="0" w:line="198"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Utilization of the NOL carryforwards and research credit carryforwards may be subject to an annual limitation due to the ownership percentage change limitations provided by the Internal Revenue Code and similar state provisions. Annual limitations may result in the expiration of the NOL and tax credit carryforwards before they are utilized. The Company has experienced ownership changes in the past as a result of its Series B redeemable convertible preferred stock financing. As a result of the ownership changes, some of the tax attribute carryforwards may be permanently limited as they will expire unused and such amounts are excluded from our NOLs as of December 31, 2022. Subsequent ownership changes may result in additional limitations.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reconciliation of the beginning and ending unrecognized tax benefits amounts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center"/>
              <w:ind w:right="216"/>
              <w:spacing w:after="0"/>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4"/>
                <w:szCs w:val="14"/>
                <w:color w:val="auto"/>
              </w:rPr>
            </w:pPr>
          </w:p>
        </w:tc>
      </w:tr>
      <w:tr>
        <w:trPr>
          <w:trHeight w:val="162"/>
        </w:trPr>
        <w:tc>
          <w:tcPr>
            <w:tcW w:w="9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jc w:val="center"/>
              <w:ind w:right="216"/>
              <w:spacing w:after="0"/>
              <w:rPr>
                <w:sz w:val="20"/>
                <w:szCs w:val="20"/>
                <w:color w:val="auto"/>
              </w:rPr>
            </w:pPr>
            <w:r>
              <w:rPr>
                <w:rFonts w:ascii="Arial" w:cs="Arial" w:eastAsia="Arial" w:hAnsi="Arial"/>
                <w:sz w:val="14"/>
                <w:szCs w:val="14"/>
                <w:b w:val="1"/>
                <w:bCs w:val="1"/>
                <w:color w:val="auto"/>
              </w:rPr>
              <w:t>Income Tax</w:t>
            </w:r>
          </w:p>
        </w:tc>
        <w:tc>
          <w:tcPr>
            <w:tcW w:w="100" w:type="dxa"/>
            <w:vAlign w:val="bottom"/>
          </w:tcPr>
          <w:p>
            <w:pPr>
              <w:spacing w:after="0"/>
              <w:rPr>
                <w:sz w:val="14"/>
                <w:szCs w:val="14"/>
                <w:color w:val="auto"/>
              </w:rPr>
            </w:pPr>
          </w:p>
        </w:tc>
      </w:tr>
      <w:tr>
        <w:trPr>
          <w:trHeight w:val="189"/>
        </w:trPr>
        <w:tc>
          <w:tcPr>
            <w:tcW w:w="9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Benefits</w:t>
            </w:r>
          </w:p>
        </w:tc>
        <w:tc>
          <w:tcPr>
            <w:tcW w:w="100" w:type="dxa"/>
            <w:vAlign w:val="bottom"/>
          </w:tcPr>
          <w:p>
            <w:pPr>
              <w:spacing w:after="0"/>
              <w:rPr>
                <w:sz w:val="16"/>
                <w:szCs w:val="16"/>
                <w:color w:val="auto"/>
              </w:rPr>
            </w:pPr>
          </w:p>
        </w:tc>
      </w:tr>
      <w:tr>
        <w:trPr>
          <w:trHeight w:val="223"/>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80"/>
              <w:spacing w:after="0"/>
              <w:rPr>
                <w:sz w:val="20"/>
                <w:szCs w:val="20"/>
                <w:color w:val="auto"/>
              </w:rPr>
            </w:pPr>
            <w:r>
              <w:rPr>
                <w:rFonts w:ascii="Arial" w:cs="Arial" w:eastAsia="Arial" w:hAnsi="Arial"/>
                <w:sz w:val="18"/>
                <w:szCs w:val="18"/>
                <w:color w:val="auto"/>
              </w:rPr>
              <w:t>Additions for current year tax positions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r>
      <w:tr>
        <w:trPr>
          <w:trHeight w:val="229"/>
        </w:trPr>
        <w:tc>
          <w:tcPr>
            <w:tcW w:w="9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00" w:type="dxa"/>
            <w:vAlign w:val="bottom"/>
          </w:tcPr>
          <w:p>
            <w:pPr>
              <w:ind w:left="20"/>
              <w:spacing w:after="0"/>
              <w:rPr>
                <w:sz w:val="20"/>
                <w:szCs w:val="20"/>
                <w:color w:val="auto"/>
              </w:rPr>
            </w:pPr>
            <w:r>
              <w:rPr>
                <w:rFonts w:ascii="Arial" w:cs="Arial" w:eastAsia="Arial" w:hAnsi="Arial"/>
                <w:sz w:val="18"/>
                <w:szCs w:val="18"/>
                <w:color w:val="auto"/>
              </w:rPr>
              <w:t>Balance as of December 31, 2021</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5,586</w:t>
            </w:r>
          </w:p>
        </w:tc>
        <w:tc>
          <w:tcPr>
            <w:tcW w:w="100" w:type="dxa"/>
            <w:vAlign w:val="bottom"/>
          </w:tcPr>
          <w:p>
            <w:pPr>
              <w:spacing w:after="0"/>
              <w:rPr>
                <w:sz w:val="19"/>
                <w:szCs w:val="19"/>
                <w:color w:val="auto"/>
              </w:rPr>
            </w:pPr>
          </w:p>
        </w:tc>
      </w:tr>
      <w:tr>
        <w:trPr>
          <w:trHeight w:val="229"/>
        </w:trPr>
        <w:tc>
          <w:tcPr>
            <w:tcW w:w="92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Additions for current year tax positions</w:t>
            </w: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FF0FC"/>
          </w:tcPr>
          <w:p>
            <w:pPr>
              <w:spacing w:after="0"/>
              <w:rPr>
                <w:sz w:val="19"/>
                <w:szCs w:val="19"/>
                <w:color w:val="auto"/>
              </w:rPr>
            </w:pPr>
          </w:p>
        </w:tc>
      </w:tr>
      <w:tr>
        <w:trPr>
          <w:trHeight w:val="229"/>
        </w:trPr>
        <w:tc>
          <w:tcPr>
            <w:tcW w:w="9200" w:type="dxa"/>
            <w:vAlign w:val="bottom"/>
          </w:tcPr>
          <w:p>
            <w:pPr>
              <w:ind w:left="28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9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During the years ended December 31, 2022 and 2021, the Company did not recognize accrued interest and penalties related to unrecognized tax benefits. The Company does not anticipate that the amount of existing unrecognized tax benefits will materially increase or decrease during the next 12 months.</w:t>
      </w:r>
    </w:p>
    <w:p>
      <w:pPr>
        <w:spacing w:after="0" w:line="204" w:lineRule="exact"/>
        <w:rPr>
          <w:sz w:val="20"/>
          <w:szCs w:val="20"/>
          <w:color w:val="auto"/>
        </w:rPr>
      </w:pPr>
    </w:p>
    <w:p>
      <w:pPr>
        <w:jc w:val="both"/>
        <w:ind w:firstLine="637"/>
        <w:spacing w:after="0" w:line="237" w:lineRule="auto"/>
        <w:rPr>
          <w:sz w:val="20"/>
          <w:szCs w:val="20"/>
          <w:color w:val="auto"/>
        </w:rPr>
      </w:pPr>
      <w:r>
        <w:rPr>
          <w:rFonts w:ascii="Arial" w:cs="Arial" w:eastAsia="Arial" w:hAnsi="Arial"/>
          <w:sz w:val="18"/>
          <w:szCs w:val="18"/>
          <w:color w:val="auto"/>
        </w:rPr>
        <w:t>The Company files income tax returns in the U.S. federal and California tax jurisdictions. In general, the Company is no longer subject to tax examination by the Internal Revenue Service or state taxing authorities for years before 2017. Although the federal and state statutes are closed for purposes of assessing additional income tax in those prior years, the taxing authorities may still make adjustments to the NOL and credit carryforwards used in open years. Therefore, the tax statutes should be considered open as it relates to the NOL and credit carryforwards used in open years. The Company has no ongoing income tax examinations by tax authorities at this time.</w:t>
      </w:r>
    </w:p>
    <w:p>
      <w:pPr>
        <w:spacing w:after="0" w:line="20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On March 11, 2021, the American Rescue Plan Act was signed into law and contained provisions relating to extending the Employee Retention Tax Credit, additional funding for the PPP loan and Economic Injury Disaster Loans, as well as expanding the covered employees under Section 162(m) for tax years beginning after December 31, 2026. The Company does not expect the American Rescue Plan will have a material impact to its current income tax provision.</w:t>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On November 15, 2021, the Infrastructure Investment and Jobs Act was signed into law and contained several tax provisions including changes to the Employee Retention Tax Credit after September 30, 2021. The Company does not expect the Infrastructure Investment and Jobs Act will have a material impact to its income tax provision.</w:t>
      </w:r>
    </w:p>
    <w:p>
      <w:pPr>
        <w:spacing w:after="0" w:line="202"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accordance with the 2017 Tax Act, research and experimental (R&amp;E) expenses under Internal Revenue Code Section 174 are required to be capitalized beginning in 2022. R&amp;E expenses are required to be amortized over a period of five years for domestic expenses and 15 years for foreign expenses. The Company recognized a deferred tax asset of $16.2 million for capitalized R&amp;E expenses as of December 31, 2022.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9" w:name="page160"/>
    <w:bookmarkEnd w:id="159"/>
    <w:p>
      <w:pPr>
        <w:ind w:right="20" w:firstLine="644"/>
        <w:spacing w:after="0" w:line="245" w:lineRule="auto"/>
        <w:rPr>
          <w:sz w:val="20"/>
          <w:szCs w:val="20"/>
          <w:color w:val="auto"/>
        </w:rPr>
      </w:pPr>
      <w:r>
        <w:rPr>
          <w:rFonts w:ascii="Arial" w:cs="Arial" w:eastAsia="Arial" w:hAnsi="Arial"/>
          <w:sz w:val="18"/>
          <w:szCs w:val="18"/>
          <w:color w:val="auto"/>
        </w:rPr>
        <w:t>The Inflation Reduction Act of 2022, which includes certain tax measures, was signed into law by President Joe Biden on August 16, 2022. The act contains two main tax provisions:</w:t>
      </w:r>
    </w:p>
    <w:p>
      <w:pPr>
        <w:spacing w:after="0" w:line="90" w:lineRule="exact"/>
        <w:rPr>
          <w:sz w:val="20"/>
          <w:szCs w:val="20"/>
          <w:color w:val="auto"/>
        </w:rPr>
      </w:pPr>
    </w:p>
    <w:p>
      <w:pPr>
        <w:ind w:left="1020" w:hanging="504"/>
        <w:spacing w:after="0" w:line="245"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new corporate alternative minimum tax imposed on certain corporations meeting average annual financial statement income of more than $1 billion for the three tax-year period, and</w:t>
      </w:r>
    </w:p>
    <w:p>
      <w:pPr>
        <w:spacing w:after="0" w:line="89" w:lineRule="exact"/>
        <w:rPr>
          <w:rFonts w:ascii="Arial" w:cs="Arial" w:eastAsia="Arial" w:hAnsi="Arial"/>
          <w:sz w:val="18"/>
          <w:szCs w:val="18"/>
          <w:color w:val="auto"/>
        </w:rPr>
      </w:pPr>
    </w:p>
    <w:p>
      <w:pPr>
        <w:ind w:left="1020" w:hanging="504"/>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excise tax imposed upon share repurchased by certain publicly traded corporations.</w:t>
      </w:r>
    </w:p>
    <w:p>
      <w:pPr>
        <w:spacing w:after="0" w:line="21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This provision is effective for tax years beginning after December 31, 2022. The Company is evaluating the provisions but does not believe the act will have a material impact.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Common Stock</w:t>
      </w:r>
    </w:p>
    <w:p>
      <w:pPr>
        <w:spacing w:after="0" w:line="125"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As of December 31, 2022 and 2021, the Company’s certificate of incorporation authorized the Company to issue 300,000,000 shares of common stock, at the par value of $0.0001 per share. The holder of each share of common stock is entitled to one vote per share.</w:t>
      </w:r>
    </w:p>
    <w:p>
      <w:pPr>
        <w:spacing w:after="0" w:line="1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prior rights of the preferred stockholders. As of December 31, 2022 and 2021, no dividends on common stock had been declared by the board of directors.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2022 and 2021, the Company has reserved common stock, on an as-converted basis, for future issuance as</w:t>
      </w:r>
    </w:p>
    <w:p>
      <w:pPr>
        <w:spacing w:after="0"/>
        <w:rPr>
          <w:sz w:val="20"/>
          <w:szCs w:val="20"/>
          <w:color w:val="auto"/>
        </w:rPr>
      </w:pPr>
      <w:r>
        <w:rPr>
          <w:rFonts w:ascii="Arial" w:cs="Arial" w:eastAsia="Arial" w:hAnsi="Arial"/>
          <w:sz w:val="18"/>
          <w:szCs w:val="18"/>
          <w:color w:val="auto"/>
        </w:rPr>
        <w:t>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3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4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under the 2020</w:t>
            </w:r>
          </w:p>
        </w:tc>
        <w:tc>
          <w:tcPr>
            <w:tcW w:w="4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Incentive Plan</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2,112,039</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2,690,097</w:t>
            </w:r>
          </w:p>
        </w:tc>
        <w:tc>
          <w:tcPr>
            <w:tcW w:w="100" w:type="dxa"/>
            <w:vAlign w:val="bottom"/>
            <w:shd w:val="clear" w:color="auto" w:fill="CFF0FC"/>
          </w:tcPr>
          <w:p>
            <w:pPr>
              <w:spacing w:after="0"/>
              <w:rPr>
                <w:sz w:val="19"/>
                <w:szCs w:val="19"/>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Issuance of common stock under the 2020</w:t>
            </w:r>
          </w:p>
        </w:tc>
        <w:tc>
          <w:tcPr>
            <w:tcW w:w="4300" w:type="dxa"/>
            <w:vAlign w:val="bottom"/>
          </w:tcPr>
          <w:p>
            <w:pPr>
              <w:ind w:left="20"/>
              <w:spacing w:after="0"/>
              <w:rPr>
                <w:sz w:val="20"/>
                <w:szCs w:val="20"/>
                <w:color w:val="auto"/>
              </w:rPr>
            </w:pPr>
            <w:r>
              <w:rPr>
                <w:rFonts w:ascii="Arial" w:cs="Arial" w:eastAsia="Arial" w:hAnsi="Arial"/>
                <w:sz w:val="18"/>
                <w:szCs w:val="18"/>
                <w:color w:val="auto"/>
              </w:rPr>
              <w:t>Employee Stock Share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413,273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498,747</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Exercise of options issued and outstanding</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5,778,929</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3,881,274</w:t>
            </w:r>
          </w:p>
        </w:tc>
        <w:tc>
          <w:tcPr>
            <w:tcW w:w="100" w:type="dxa"/>
            <w:vAlign w:val="bottom"/>
            <w:shd w:val="clear" w:color="auto" w:fill="CFF0FC"/>
          </w:tcPr>
          <w:p>
            <w:pPr>
              <w:spacing w:after="0"/>
              <w:rPr>
                <w:sz w:val="19"/>
                <w:szCs w:val="19"/>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Exercise of common stock warrants</w:t>
            </w:r>
          </w:p>
        </w:tc>
        <w:tc>
          <w:tcPr>
            <w:tcW w:w="43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53,669</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53,669</w:t>
            </w:r>
          </w:p>
        </w:tc>
        <w:tc>
          <w:tcPr>
            <w:tcW w:w="100" w:type="dxa"/>
            <w:vAlign w:val="bottom"/>
          </w:tcPr>
          <w:p>
            <w:pPr>
              <w:spacing w:after="0"/>
              <w:rPr>
                <w:sz w:val="19"/>
                <w:szCs w:val="19"/>
                <w:color w:val="auto"/>
              </w:rPr>
            </w:pPr>
          </w:p>
        </w:tc>
      </w:tr>
      <w:tr>
        <w:trPr>
          <w:trHeight w:val="263"/>
        </w:trPr>
        <w:tc>
          <w:tcPr>
            <w:tcW w:w="3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common stock reserved</w:t>
            </w:r>
          </w:p>
        </w:tc>
        <w:tc>
          <w:tcPr>
            <w:tcW w:w="4300" w:type="dxa"/>
            <w:vAlign w:val="bottom"/>
            <w:tcBorders>
              <w:bottom w:val="single" w:sz="8" w:color="CFF0FC"/>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8,357,910</w:t>
            </w:r>
          </w:p>
        </w:tc>
        <w:tc>
          <w:tcPr>
            <w:tcW w:w="24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7,123,787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644"/>
        <w:spacing w:after="0"/>
        <w:rPr>
          <w:sz w:val="20"/>
          <w:szCs w:val="20"/>
          <w:color w:val="auto"/>
        </w:rPr>
      </w:pPr>
      <w:r>
        <w:rPr>
          <w:rFonts w:ascii="Arial" w:cs="Arial" w:eastAsia="Arial" w:hAnsi="Arial"/>
          <w:sz w:val="18"/>
          <w:szCs w:val="18"/>
          <w:i w:val="1"/>
          <w:iCs w:val="1"/>
          <w:color w:val="auto"/>
        </w:rPr>
        <w:t xml:space="preserve">Funding Agreement with CFF </w:t>
      </w:r>
      <w:r>
        <w:rPr>
          <w:rFonts w:ascii="Arial" w:cs="Arial" w:eastAsia="Arial" w:hAnsi="Arial"/>
          <w:sz w:val="18"/>
          <w:szCs w:val="18"/>
          <w:color w:val="auto"/>
        </w:rPr>
        <w:t>— In April 2020, CFF made a $10.0 million investment in the Company's Series C redeemable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financing. In return for the investment, CFF received shares of Series C redeemable convertible preferred stock, and the Company and CFF entered into a Funding Agreement (“the Funding Agreement”). Pursuant to the terms of the Funding Agreement, except in the event of a technical failure, the $10.0 million received from CFF will be used to advance the development program for 4D-710, the Company’s lead product in cystic fibrosis, or any other therapeutic approved by the Program Advisory Group (“PAG”) to alleviate pulmonary complications of cystic fibrosis (“the Funding Agreement Product”).</w:t>
      </w:r>
    </w:p>
    <w:p>
      <w:pPr>
        <w:spacing w:after="0" w:line="192"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color w:val="auto"/>
        </w:rPr>
        <w:t>CFF committed to provide an additional $4.0 million of funding upon acceptance of an Investigational New Drug (“IND”) application or its equivalent to allow for human testing of the Funding Agreement Product (“Acceptance”).</w:t>
      </w:r>
    </w:p>
    <w:p>
      <w:pPr>
        <w:spacing w:after="0" w:line="184"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The IND was cleared by the U.S. Food and Drug Administration in October 2021, and CFF made the additional investment of $4.0 million in cash for the issuance of 125,715 shares of the Company's common stock to CFF.</w:t>
      </w:r>
    </w:p>
    <w:p>
      <w:pPr>
        <w:spacing w:after="0" w:line="18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Except in the event of a technical failure, the Company is committed to providing an amount equal to the funding provided by CFF to be used solely to advance the Funding Agreement Product. As of December 31, 2022, the funding commitment has not been fulfilled. A technical failure is defined as a determination by the Company, after consultation with and approval of the PAG that (i) the Funding Agreement Product has failed to reach its intended endpoints due to safety issues, lack of sufficient transgene expression and/or efficacy, each despite commercially reasonable efforts and (iii) the exercise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60" w:name="page161"/>
    <w:bookmarkEnd w:id="160"/>
    <w:p>
      <w:pPr>
        <w:jc w:val="both"/>
        <w:spacing w:after="0"/>
        <w:rPr>
          <w:sz w:val="20"/>
          <w:szCs w:val="20"/>
          <w:color w:val="auto"/>
        </w:rPr>
      </w:pPr>
      <w:r>
        <w:rPr>
          <w:rFonts w:ascii="Arial" w:cs="Arial" w:eastAsia="Arial" w:hAnsi="Arial"/>
          <w:sz w:val="18"/>
          <w:szCs w:val="18"/>
          <w:color w:val="auto"/>
        </w:rPr>
        <w:t>of further commercially reasonable efforts is unlikely to correct such failure. Under the terms of the Funding Agreement, neither the $10.0 million investment in the Series C redeemable convertible preferred stock, which converted to common stock as of December 31, 2020, nor the $4.0 million of funding upon Acceptance are restricted as to withdrawal or usage.</w:t>
      </w:r>
    </w:p>
    <w:p>
      <w:pPr>
        <w:spacing w:after="0" w:line="112" w:lineRule="exact"/>
        <w:rPr>
          <w:sz w:val="20"/>
          <w:szCs w:val="20"/>
          <w:color w:val="auto"/>
        </w:rPr>
      </w:pPr>
    </w:p>
    <w:p>
      <w:pPr>
        <w:ind w:right="8560" w:firstLine="8"/>
        <w:spacing w:after="0" w:line="396" w:lineRule="auto"/>
        <w:tabs>
          <w:tab w:leader="none" w:pos="30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b w:val="1"/>
          <w:bCs w:val="1"/>
          <w:color w:val="auto"/>
        </w:rPr>
        <w:t>2020 Incentive Award Plan</w:t>
      </w:r>
    </w:p>
    <w:p>
      <w:pPr>
        <w:spacing w:after="0" w:line="54"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December 2020, the Company adopted the 2020 Incentive Award Plan (“2020 Plan”), which became effective on December 10, 2020. The 2020 Plan initially reserved 2,606,546 shares of common stock for the issuance of stock options, stock appreciation rights, restricted stock awards, restricted stock units, performance bonus awards, performance stock units, dividend equivalents or other stock or cash based award granted to employees, directors and consultants of the Company. The number of shares reserved for future issuance under the 2020 Plan will increase annually on the first day of each fiscal year beginning in 2021 and ending in 2030 by the lesser of (i) 5% of the shares of common stock outstanding (on an as converted basis) on the last day of the immediately preceding fiscal year and (ii) such number of shares of common stock as determined by the Company's board of directors, provided, however, no more than 18,000,000 shares of the Company's common stock may be issued upon the exercise of incentive stock options. On March 28, 2022, an additional 1,611,226 shares of common stock became available for issuance under the 2020 Plan, as a result of the operation of the automatic annual increase provision. All options are exercisable over a period not to exceed the contractual term of ten years from the date the stock options were issued. As of December 31, 2022, there were 1,931,123 shares available for grant under the 2020 Plan.</w:t>
      </w:r>
    </w:p>
    <w:p>
      <w:pPr>
        <w:spacing w:after="0" w:line="202"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Following the effectiveness of the 2020 Plan, the Company will not make any further grants under the 2015 Equity Incentive Plan (the “2015 Plan”). However, the 2015 Plan continues to govern the terms of options that remain outstanding under the 2015 Plan. As of December 31, 2022, there were 180,916 shares available for grant under the 2015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Equity Incentive Plan</w:t>
      </w:r>
    </w:p>
    <w:p>
      <w:pPr>
        <w:spacing w:after="0" w:line="220"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8"/>
          <w:szCs w:val="18"/>
          <w:color w:val="auto"/>
        </w:rPr>
        <w:t>The 2015 Plan provided for grants of stock options, stock appreciation rights, restricted stock and restricted stock unit awards to employees, directors and consultants of the Company. As of December 31, 2022, options to purchase 2,179,709 shares of common stock were outstanding under the 2015 Plan. All options are exercisable over a period not to exceed the contractual term of ten years from the date the stock options were issued and are granted at prices not less than the estimated fair market value of the Company’s common stock on the grant date as determined by the board of directors. If an individual owns stock representing more than 10% of the Company’s outstanding shares, the exercise price of each share shall be at least 110% of the fair market value on the date of grant.</w:t>
      </w:r>
    </w:p>
    <w:p>
      <w:pPr>
        <w:spacing w:after="0" w:line="206"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18"/>
          <w:szCs w:val="18"/>
          <w:color w:val="auto"/>
        </w:rPr>
        <w:t>No additional grants will be made under the 2015 Plan, and all outstanding grants under the 2015 Plan that are repurchased, forfeited, expire or are cancelled are returned back to the 2015 Plan and are not available for grant under the 2020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December 2020, the Company adopted the 2020 Employee Stock Purchase Plan (the “2020 ESPP”). Under the 2020 ESPP, 252,337 shares of the Company's common stock were initially reserved for employee purchases of the Company's common stock under terms and provisions established by the Company's board of directors and approved by the Company's stockholders. The number of shares reserved for future issuance under the 2020 ESPP will increase annually on the first day of each fiscal year beginning in 2021 and ending in 2030 by the lesser of (i) 1% of the shares of common stock outstanding (on an as converted basis) on the last day of the immediately preceding fiscal year and (ii) such number of shares of common stock as determined by the Company's board of directors, provided, however, no more than 15,000,000 shares the Company's common stock may be issued under the 2020 ESPP. On March 28, 2022, an additional 25,000 shares of common stock became available for future issuance under the 2020 ESPP, as a result of the operation of this automatic annual increase provision.</w:t>
      </w:r>
    </w:p>
    <w:p>
      <w:pPr>
        <w:spacing w:after="0" w:line="20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Under the 2020 ESPP the Company's employees may purchase common stock through payroll deductions at a price equal to 85% of the lower of the fair market value of the stock at the beginning of the offering period or at the end of each applicable purchase period. The 2020 ESPP provides for a series of overlapping 24-month offering periods comprising four six-month purchase periods. The initial offering period under the 2020 ESPP is longer than 24 months, commencing February 15, 2021 and ending on May 14, 2023. Contributions under the 2020 ESPP are limited to a maximum of 15% of an employee's eligible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stock options activity for the year ended December 31,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gridSpan w:val="2"/>
          </w:tcPr>
          <w:p>
            <w:pPr>
              <w:ind w:lef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Remainin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Contract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ual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Available</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860" w:type="dxa"/>
            <w:vAlign w:val="bottom"/>
          </w:tcPr>
          <w:p>
            <w:pPr>
              <w:jc w:val="center"/>
              <w:ind w:right="56"/>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1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2021</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2,690,097</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3,881,274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80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w w:val="96"/>
              </w:rPr>
              <w:t>7.97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Options authorized</w:t>
            </w:r>
          </w:p>
        </w:tc>
        <w:tc>
          <w:tcPr>
            <w:tcW w:w="1800" w:type="dxa"/>
            <w:vAlign w:val="bottom"/>
          </w:tcPr>
          <w:p>
            <w:pPr>
              <w:jc w:val="right"/>
              <w:spacing w:after="0"/>
              <w:rPr>
                <w:sz w:val="20"/>
                <w:szCs w:val="20"/>
                <w:color w:val="auto"/>
              </w:rPr>
            </w:pPr>
            <w:r>
              <w:rPr>
                <w:rFonts w:ascii="Arial" w:cs="Arial" w:eastAsia="Arial" w:hAnsi="Arial"/>
                <w:sz w:val="18"/>
                <w:szCs w:val="18"/>
                <w:color w:val="auto"/>
              </w:rPr>
              <w:t>1,611,226</w:t>
            </w:r>
          </w:p>
        </w:tc>
        <w:tc>
          <w:tcPr>
            <w:tcW w:w="14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granted</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(2,710,437 )</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2,710,437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Options exercised</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(291,629 )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expired</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108,913</w:t>
            </w:r>
          </w:p>
        </w:tc>
        <w:tc>
          <w:tcPr>
            <w:tcW w:w="1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(108,913 )</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800" w:type="dxa"/>
            <w:vAlign w:val="bottom"/>
          </w:tcPr>
          <w:p>
            <w:pPr>
              <w:jc w:val="right"/>
              <w:spacing w:after="0"/>
              <w:rPr>
                <w:sz w:val="20"/>
                <w:szCs w:val="20"/>
                <w:color w:val="auto"/>
              </w:rPr>
            </w:pPr>
            <w:r>
              <w:rPr>
                <w:rFonts w:ascii="Arial" w:cs="Arial" w:eastAsia="Arial" w:hAnsi="Arial"/>
                <w:sz w:val="18"/>
                <w:szCs w:val="18"/>
                <w:color w:val="auto"/>
              </w:rPr>
              <w:t>412,240</w:t>
            </w:r>
          </w:p>
        </w:tc>
        <w:tc>
          <w:tcPr>
            <w:tcW w:w="14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(412,240 )</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December 31, 2022</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2,112,039</w:t>
            </w:r>
          </w:p>
        </w:tc>
        <w:tc>
          <w:tcPr>
            <w:tcW w:w="14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5,778,929</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800" w:type="dxa"/>
            <w:vAlign w:val="bottom"/>
            <w:tcBorders>
              <w:bottom w:val="single" w:sz="8" w:color="CFF0FC"/>
            </w:tcBorders>
            <w:gridSpan w:val="2"/>
            <w:shd w:val="clear" w:color="auto" w:fill="CFF0FC"/>
          </w:tcPr>
          <w:p>
            <w:pPr>
              <w:ind w:left="440"/>
              <w:spacing w:after="0"/>
              <w:rPr>
                <w:sz w:val="20"/>
                <w:szCs w:val="20"/>
                <w:color w:val="auto"/>
              </w:rPr>
            </w:pPr>
            <w:r>
              <w:rPr>
                <w:rFonts w:ascii="Arial" w:cs="Arial" w:eastAsia="Arial" w:hAnsi="Arial"/>
                <w:sz w:val="18"/>
                <w:szCs w:val="18"/>
                <w:color w:val="auto"/>
                <w:w w:val="96"/>
              </w:rPr>
              <w:t>7.97</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48,050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line="195" w:lineRule="exact"/>
              <w:rPr>
                <w:sz w:val="20"/>
                <w:szCs w:val="20"/>
                <w:color w:val="auto"/>
              </w:rPr>
            </w:pPr>
            <w:r>
              <w:rPr>
                <w:rFonts w:ascii="Arial" w:cs="Arial" w:eastAsia="Arial" w:hAnsi="Arial"/>
                <w:sz w:val="18"/>
                <w:szCs w:val="18"/>
                <w:color w:val="auto"/>
              </w:rPr>
              <w:t>Shares exercisable, December 31,</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2,381,368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80" w:type="dxa"/>
            <w:vAlign w:val="bottom"/>
          </w:tcPr>
          <w:p>
            <w:pPr>
              <w:ind w:left="180"/>
              <w:spacing w:after="0" w:line="176" w:lineRule="exact"/>
              <w:rPr>
                <w:sz w:val="20"/>
                <w:szCs w:val="20"/>
                <w:color w:val="auto"/>
              </w:rPr>
            </w:pPr>
            <w:r>
              <w:rPr>
                <w:rFonts w:ascii="Arial" w:cs="Arial" w:eastAsia="Arial" w:hAnsi="Arial"/>
                <w:sz w:val="18"/>
                <w:szCs w:val="18"/>
                <w:color w:val="auto"/>
              </w:rPr>
              <w:t>2022</w:t>
            </w: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16.18</w:t>
            </w:r>
          </w:p>
        </w:tc>
        <w:tc>
          <w:tcPr>
            <w:tcW w:w="800" w:type="dxa"/>
            <w:vAlign w:val="bottom"/>
            <w:gridSpan w:val="2"/>
          </w:tcPr>
          <w:p>
            <w:pPr>
              <w:ind w:left="440"/>
              <w:spacing w:after="0" w:line="176" w:lineRule="exact"/>
              <w:rPr>
                <w:sz w:val="20"/>
                <w:szCs w:val="20"/>
                <w:color w:val="auto"/>
              </w:rPr>
            </w:pPr>
            <w:r>
              <w:rPr>
                <w:rFonts w:ascii="Arial" w:cs="Arial" w:eastAsia="Arial" w:hAnsi="Arial"/>
                <w:sz w:val="18"/>
                <w:szCs w:val="18"/>
                <w:color w:val="auto"/>
                <w:w w:val="96"/>
              </w:rPr>
              <w:t>6.80</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20,163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rPr>
              <w:t>Shares vested and expected to</w:t>
            </w:r>
          </w:p>
        </w:tc>
        <w:tc>
          <w:tcPr>
            <w:tcW w:w="1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5,778,929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180"/>
              <w:spacing w:after="0" w:line="176" w:lineRule="exact"/>
              <w:rPr>
                <w:sz w:val="20"/>
                <w:szCs w:val="20"/>
                <w:color w:val="auto"/>
              </w:rPr>
            </w:pPr>
            <w:r>
              <w:rPr>
                <w:rFonts w:ascii="Arial" w:cs="Arial" w:eastAsia="Arial" w:hAnsi="Arial"/>
                <w:sz w:val="18"/>
                <w:szCs w:val="18"/>
                <w:color w:val="auto"/>
              </w:rPr>
              <w:t>vest, December 31, 2022</w:t>
            </w:r>
          </w:p>
        </w:tc>
        <w:tc>
          <w:tcPr>
            <w:tcW w:w="18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16.21</w:t>
            </w:r>
          </w:p>
        </w:tc>
        <w:tc>
          <w:tcPr>
            <w:tcW w:w="800" w:type="dxa"/>
            <w:vAlign w:val="bottom"/>
            <w:tcBorders>
              <w:bottom w:val="single" w:sz="8" w:color="CFF0FC"/>
            </w:tcBorders>
            <w:gridSpan w:val="2"/>
            <w:shd w:val="clear" w:color="auto" w:fill="CFF0FC"/>
          </w:tcPr>
          <w:p>
            <w:pPr>
              <w:ind w:left="440"/>
              <w:spacing w:after="0" w:line="176" w:lineRule="exact"/>
              <w:rPr>
                <w:sz w:val="20"/>
                <w:szCs w:val="20"/>
                <w:color w:val="auto"/>
              </w:rPr>
            </w:pPr>
            <w:r>
              <w:rPr>
                <w:rFonts w:ascii="Arial" w:cs="Arial" w:eastAsia="Arial" w:hAnsi="Arial"/>
                <w:sz w:val="18"/>
                <w:szCs w:val="18"/>
                <w:color w:val="auto"/>
                <w:w w:val="96"/>
              </w:rPr>
              <w:t>7.88</w:t>
            </w:r>
          </w:p>
        </w:tc>
        <w:tc>
          <w:tcPr>
            <w:tcW w:w="280" w:type="dxa"/>
            <w:vAlign w:val="bottom"/>
            <w:tcBorders>
              <w:bottom w:val="single" w:sz="8" w:color="CFF0FC"/>
            </w:tcBorders>
            <w:gridSpan w:val="2"/>
            <w:shd w:val="clear" w:color="auto" w:fill="CFF0FC"/>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line="176" w:lineRule="exact"/>
              <w:rPr>
                <w:sz w:val="20"/>
                <w:szCs w:val="20"/>
                <w:color w:val="auto"/>
              </w:rPr>
            </w:pPr>
            <w:r>
              <w:rPr>
                <w:rFonts w:ascii="Arial" w:cs="Arial" w:eastAsia="Arial" w:hAnsi="Arial"/>
                <w:sz w:val="18"/>
                <w:szCs w:val="18"/>
                <w:color w:val="auto"/>
              </w:rPr>
              <w:t>48,050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4280" w:type="dxa"/>
            <w:vAlign w:val="bottom"/>
          </w:tcPr>
          <w:p>
            <w:pPr>
              <w:spacing w:after="0"/>
              <w:rPr>
                <w:sz w:val="24"/>
                <w:szCs w:val="24"/>
                <w:color w:val="auto"/>
              </w:rPr>
            </w:pPr>
          </w:p>
        </w:tc>
        <w:tc>
          <w:tcPr>
            <w:tcW w:w="1940" w:type="dxa"/>
            <w:vAlign w:val="bottom"/>
            <w:gridSpan w:val="2"/>
          </w:tcPr>
          <w:p>
            <w:pPr>
              <w:jc w:val="right"/>
              <w:ind w:right="420"/>
              <w:spacing w:after="0"/>
              <w:rPr>
                <w:sz w:val="20"/>
                <w:szCs w:val="20"/>
                <w:color w:val="auto"/>
              </w:rPr>
            </w:pPr>
            <w:r>
              <w:rPr>
                <w:rFonts w:ascii="Arial" w:cs="Arial" w:eastAsia="Arial" w:hAnsi="Arial"/>
                <w:sz w:val="18"/>
                <w:szCs w:val="18"/>
                <w:color w:val="auto"/>
              </w:rPr>
              <w:t>F-30</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-1061085</wp:posOffset>
            </wp:positionV>
            <wp:extent cx="1250315" cy="2997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1250315" cy="29972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-513080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-495935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62" w:name="page163"/>
    <w:bookmarkEnd w:id="162"/>
    <w:p>
      <w:pPr>
        <w:ind w:left="640"/>
        <w:spacing w:after="0"/>
        <w:rPr>
          <w:sz w:val="20"/>
          <w:szCs w:val="20"/>
          <w:color w:val="auto"/>
        </w:rPr>
      </w:pPr>
      <w:r>
        <w:rPr>
          <w:rFonts w:ascii="Arial" w:cs="Arial" w:eastAsia="Arial" w:hAnsi="Arial"/>
          <w:sz w:val="18"/>
          <w:szCs w:val="18"/>
          <w:color w:val="auto"/>
        </w:rPr>
        <w:t>The following table is a summary of stock compensation expense for employees and nonemployees by function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77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1260" w:type="dxa"/>
            <w:vAlign w:val="bottom"/>
            <w:gridSpan w:val="2"/>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7,900</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6,952</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17,121</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18"/>
          <w:szCs w:val="18"/>
          <w:color w:val="auto"/>
        </w:rPr>
        <w:t>During the years ended December 31, 2022 and 2021, the Company granted 2,700,437 and 1,521,150 stock options to employees with a weighted-average grant date fair value of $11.20 and $34.46 per share, respectively and 10,000 and 45,000 stock options to nonemployees with a weighted-average grant date fair value of $12.05 and $47.42 per share, respectively. The total fair value of options vested during the years ended December 31, 2022 and 2021 was $15.1 million and $13.8 million, respectively. As of December 31, 2022, the unrecognized stock-based compensation expense of unvested options was $37.1 million and is expected to be recognized over a weighted-average period of 2.2 years.</w:t>
      </w:r>
    </w:p>
    <w:p>
      <w:pPr>
        <w:spacing w:after="0" w:line="189" w:lineRule="exact"/>
        <w:rPr>
          <w:sz w:val="20"/>
          <w:szCs w:val="20"/>
          <w:color w:val="auto"/>
        </w:rPr>
      </w:pPr>
    </w:p>
    <w:p>
      <w:pPr>
        <w:jc w:val="both"/>
        <w:ind w:firstLine="644"/>
        <w:spacing w:after="0"/>
        <w:rPr>
          <w:sz w:val="20"/>
          <w:szCs w:val="20"/>
          <w:color w:val="auto"/>
        </w:rPr>
      </w:pPr>
      <w:r>
        <w:rPr>
          <w:rFonts w:ascii="Arial" w:cs="Arial" w:eastAsia="Arial" w:hAnsi="Arial"/>
          <w:sz w:val="18"/>
          <w:szCs w:val="18"/>
          <w:color w:val="auto"/>
        </w:rPr>
        <w:t>Stock-based compensation expense recorded for employee options was $16.9 million and $13.3 million for the years ended December 31, 2022 and 2021, respectively. Stock-based compensation expense recorded for nonemployee consultants was $0.2 million and $0.5 million for the years ended December 31, 2022 and 2021, respectively.</w:t>
      </w:r>
    </w:p>
    <w:p>
      <w:pPr>
        <w:spacing w:after="0" w:line="202" w:lineRule="exact"/>
        <w:rPr>
          <w:sz w:val="20"/>
          <w:szCs w:val="20"/>
          <w:color w:val="auto"/>
        </w:rPr>
      </w:pPr>
    </w:p>
    <w:p>
      <w:pPr>
        <w:jc w:val="both"/>
        <w:ind w:firstLine="637"/>
        <w:spacing w:after="0" w:line="238" w:lineRule="auto"/>
        <w:rPr>
          <w:sz w:val="20"/>
          <w:szCs w:val="20"/>
          <w:color w:val="auto"/>
        </w:rPr>
      </w:pPr>
      <w:r>
        <w:rPr>
          <w:rFonts w:ascii="Arial" w:cs="Arial" w:eastAsia="Arial" w:hAnsi="Arial"/>
          <w:sz w:val="18"/>
          <w:szCs w:val="18"/>
          <w:color w:val="auto"/>
        </w:rPr>
        <w:t>The Company estimates the fair value of employee and nonemployee stock options using the Black-Scholes option pricing model. The fair value of employee and nonemployee options is recognized on a straight-line basis over the requisite service period of the awards. The fair value of the Company's stock options was estimated using the following assumptions for the years ended December 31,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 2022</w:t>
            </w:r>
          </w:p>
        </w:tc>
        <w:tc>
          <w:tcPr>
            <w:tcW w:w="1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 2021</w:t>
            </w:r>
          </w:p>
        </w:tc>
      </w:tr>
      <w:tr>
        <w:trPr>
          <w:trHeight w:val="215"/>
        </w:trPr>
        <w:tc>
          <w:tcPr>
            <w:tcW w:w="2280" w:type="dxa"/>
            <w:vAlign w:val="bottom"/>
          </w:tcPr>
          <w:p>
            <w:pPr>
              <w:spacing w:after="0"/>
              <w:rPr>
                <w:sz w:val="18"/>
                <w:szCs w:val="18"/>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Employee</w:t>
            </w: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Nonemployee</w:t>
            </w:r>
          </w:p>
        </w:tc>
        <w:tc>
          <w:tcPr>
            <w:tcW w:w="140" w:type="dxa"/>
            <w:vAlign w:val="bottom"/>
          </w:tcPr>
          <w:p>
            <w:pPr>
              <w:spacing w:after="0"/>
              <w:rPr>
                <w:sz w:val="18"/>
                <w:szCs w:val="18"/>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Employee</w:t>
            </w:r>
          </w:p>
        </w:tc>
        <w:tc>
          <w:tcPr>
            <w:tcW w:w="12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Nonemployee</w:t>
            </w:r>
          </w:p>
        </w:tc>
      </w:tr>
      <w:tr>
        <w:trPr>
          <w:trHeight w:val="223"/>
        </w:trPr>
        <w:tc>
          <w:tcPr>
            <w:tcW w:w="2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21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5.9 – 6.1 years</w:t>
            </w: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6.0 years</w:t>
            </w:r>
          </w:p>
        </w:tc>
        <w:tc>
          <w:tcPr>
            <w:tcW w:w="14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rPr>
              <w:t>5.8 – 6.3 years</w:t>
            </w:r>
          </w:p>
        </w:tc>
        <w:tc>
          <w:tcPr>
            <w:tcW w:w="120" w:type="dxa"/>
            <w:vAlign w:val="bottom"/>
            <w:shd w:val="clear" w:color="auto" w:fill="CFF0FC"/>
          </w:tcPr>
          <w:p>
            <w:pPr>
              <w:spacing w:after="0"/>
              <w:rPr>
                <w:sz w:val="19"/>
                <w:szCs w:val="19"/>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6.3 years</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80.1%</w:t>
            </w:r>
          </w:p>
        </w:tc>
        <w:tc>
          <w:tcPr>
            <w:tcW w:w="1160" w:type="dxa"/>
            <w:vAlign w:val="bottom"/>
          </w:tcPr>
          <w:p>
            <w:pPr>
              <w:ind w:left="20"/>
              <w:spacing w:after="0"/>
              <w:rPr>
                <w:sz w:val="20"/>
                <w:szCs w:val="20"/>
                <w:color w:val="auto"/>
              </w:rPr>
            </w:pPr>
            <w:r>
              <w:rPr>
                <w:rFonts w:ascii="Arial" w:cs="Arial" w:eastAsia="Arial" w:hAnsi="Arial"/>
                <w:sz w:val="18"/>
                <w:szCs w:val="18"/>
                <w:color w:val="auto"/>
              </w:rPr>
              <w:t>– 84.3%</w:t>
            </w:r>
          </w:p>
        </w:tc>
        <w:tc>
          <w:tcPr>
            <w:tcW w:w="2260" w:type="dxa"/>
            <w:vAlign w:val="bottom"/>
            <w:gridSpan w:val="2"/>
          </w:tcPr>
          <w:p>
            <w:pPr>
              <w:jc w:val="center"/>
              <w:ind w:left="50"/>
              <w:spacing w:after="0"/>
              <w:rPr>
                <w:sz w:val="20"/>
                <w:szCs w:val="20"/>
                <w:color w:val="auto"/>
              </w:rPr>
            </w:pPr>
            <w:r>
              <w:rPr>
                <w:rFonts w:ascii="Arial" w:cs="Arial" w:eastAsia="Arial" w:hAnsi="Arial"/>
                <w:sz w:val="18"/>
                <w:szCs w:val="18"/>
                <w:color w:val="auto"/>
              </w:rPr>
              <w:t>80.7%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140" w:type="dxa"/>
            <w:vAlign w:val="bottom"/>
          </w:tcPr>
          <w:p>
            <w:pPr>
              <w:ind w:left="20"/>
              <w:spacing w:after="0"/>
              <w:rPr>
                <w:sz w:val="20"/>
                <w:szCs w:val="20"/>
                <w:color w:val="auto"/>
              </w:rPr>
            </w:pPr>
            <w:r>
              <w:rPr>
                <w:rFonts w:ascii="Arial" w:cs="Arial" w:eastAsia="Arial" w:hAnsi="Arial"/>
                <w:sz w:val="18"/>
                <w:szCs w:val="18"/>
                <w:color w:val="auto"/>
              </w:rPr>
              <w:t>– 84.3%</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83.5%</w:t>
            </w:r>
          </w:p>
        </w:tc>
      </w:tr>
      <w:tr>
        <w:trPr>
          <w:trHeight w:val="229"/>
        </w:trPr>
        <w:tc>
          <w:tcPr>
            <w:tcW w:w="2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4.3%</w:t>
            </w:r>
          </w:p>
        </w:tc>
        <w:tc>
          <w:tcPr>
            <w:tcW w:w="22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3.0%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w:t>
            </w:r>
          </w:p>
        </w:tc>
        <w:tc>
          <w:tcPr>
            <w:tcW w:w="22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7"/>
              </w:rPr>
              <w:t>0.6%</w:t>
            </w: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c>
          <w:tcPr>
            <w:tcW w:w="228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0%</w:t>
            </w:r>
          </w:p>
        </w:tc>
        <w:tc>
          <w:tcPr>
            <w:tcW w:w="22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0%</w:t>
            </w:r>
          </w:p>
        </w:tc>
      </w:tr>
    </w:tbl>
    <w:p>
      <w:pPr>
        <w:spacing w:after="0" w:line="183" w:lineRule="exact"/>
        <w:rPr>
          <w:sz w:val="20"/>
          <w:szCs w:val="20"/>
          <w:color w:val="auto"/>
        </w:rPr>
      </w:pPr>
    </w:p>
    <w:p>
      <w:pPr>
        <w:jc w:val="both"/>
        <w:ind w:firstLine="637"/>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for employee options is calculated using the simplified method as the Company does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information to provide a basis for estimate. The simplified method is based on the average of the vesting tranches and the contractual life of each grant. The expected term for nonemployee options is the contractual term of the options.</w:t>
      </w:r>
    </w:p>
    <w:p>
      <w:pPr>
        <w:spacing w:after="0" w:line="176"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expected volatility was estimated based on a study of publicly traded peer companies as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sufficient trading history for its common stock. The Company selected the peer group based on similarities in industry, stage of development, size and financial leverage with the Company’s principal business operations. For each grant, the Company measured historical volatility over a period equivalent to the expected term.</w:t>
      </w:r>
    </w:p>
    <w:p>
      <w:pPr>
        <w:spacing w:after="0" w:line="180" w:lineRule="exact"/>
        <w:rPr>
          <w:sz w:val="20"/>
          <w:szCs w:val="20"/>
          <w:color w:val="auto"/>
        </w:rPr>
      </w:pPr>
    </w:p>
    <w:p>
      <w:pPr>
        <w:jc w:val="both"/>
        <w:ind w:right="20" w:firstLine="637"/>
        <w:spacing w:after="0" w:line="266"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available on U.S. Treasury zero-coupon issues whose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 duration to the expected term of the respective stock option.</w:t>
      </w:r>
    </w:p>
    <w:p>
      <w:pPr>
        <w:spacing w:after="0" w:line="161" w:lineRule="exact"/>
        <w:rPr>
          <w:sz w:val="20"/>
          <w:szCs w:val="20"/>
          <w:color w:val="auto"/>
        </w:rPr>
      </w:pPr>
    </w:p>
    <w:p>
      <w:pPr>
        <w:jc w:val="both"/>
        <w:ind w:firstLine="637"/>
        <w:spacing w:after="0" w:line="266"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Company has not paid and does not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Accordingly, the Company has estimated the dividend yield to be zero.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i w:val="1"/>
          <w:iCs w:val="1"/>
          <w:color w:val="auto"/>
        </w:rPr>
        <w:t>13. Common Stock Warrants</w:t>
      </w:r>
    </w:p>
    <w:p>
      <w:pPr>
        <w:spacing w:after="0" w:line="125" w:lineRule="exact"/>
        <w:rPr>
          <w:sz w:val="20"/>
          <w:szCs w:val="20"/>
          <w:color w:val="auto"/>
        </w:rPr>
      </w:pPr>
    </w:p>
    <w:p>
      <w:pPr>
        <w:jc w:val="both"/>
        <w:ind w:firstLine="637"/>
        <w:spacing w:after="0" w:line="236" w:lineRule="auto"/>
        <w:rPr>
          <w:sz w:val="20"/>
          <w:szCs w:val="20"/>
          <w:color w:val="auto"/>
        </w:rPr>
      </w:pPr>
      <w:r>
        <w:rPr>
          <w:rFonts w:ascii="Arial" w:cs="Arial" w:eastAsia="Arial" w:hAnsi="Arial"/>
          <w:sz w:val="18"/>
          <w:szCs w:val="18"/>
          <w:color w:val="auto"/>
        </w:rPr>
        <w:t>In 2016, the Company issued a warrant for 45,000 shares of the Company’s common stock to a service provider with an exercise price of $1.14 per share, of which 15,000 warrant shares become exercisable upon completion of an offering of securities in a private placement by the Company with net proceeds in excess of $25.0 million and 30,000 warrant shares become exercisable upon completion of an IPO by the Company. The warrant expires in 2023. The fair value of the warrant was determined at the issuance date using the Black-Scholes option pricing model. 15,000 of these warrant shares became exercisable upon the completion of the Series B financing in 2018 and 30,000 of these warrants became exercisable upon completion of the IPO in 2020. 45,000 shares of this warrant were exercised in October 2021.</w:t>
      </w:r>
    </w:p>
    <w:p>
      <w:pPr>
        <w:spacing w:after="0" w:line="207" w:lineRule="exact"/>
        <w:rPr>
          <w:sz w:val="20"/>
          <w:szCs w:val="20"/>
          <w:color w:val="auto"/>
        </w:rPr>
      </w:pPr>
    </w:p>
    <w:p>
      <w:pPr>
        <w:jc w:val="both"/>
        <w:ind w:right="20" w:firstLine="644"/>
        <w:spacing w:after="0"/>
        <w:rPr>
          <w:sz w:val="20"/>
          <w:szCs w:val="20"/>
          <w:color w:val="auto"/>
        </w:rPr>
      </w:pPr>
      <w:r>
        <w:rPr>
          <w:rFonts w:ascii="Arial" w:cs="Arial" w:eastAsia="Arial" w:hAnsi="Arial"/>
          <w:sz w:val="18"/>
          <w:szCs w:val="18"/>
          <w:color w:val="auto"/>
        </w:rPr>
        <w:t>In May 2018, the Company issued a warrant for 23,669 shares of the Company’s common stock to a service provider with an exercise price of $3.19 per share. The fair value of the warrant was determined at the issuance date using the Black-Scholes option pricing model, expires in 2025 and upon issuance was fully vested.</w:t>
      </w:r>
    </w:p>
    <w:p>
      <w:pPr>
        <w:spacing w:after="0" w:line="202" w:lineRule="exact"/>
        <w:rPr>
          <w:sz w:val="20"/>
          <w:szCs w:val="20"/>
          <w:color w:val="auto"/>
        </w:rPr>
      </w:pPr>
    </w:p>
    <w:p>
      <w:pPr>
        <w:jc w:val="both"/>
        <w:ind w:firstLine="637"/>
        <w:spacing w:after="0"/>
        <w:rPr>
          <w:sz w:val="20"/>
          <w:szCs w:val="20"/>
          <w:color w:val="auto"/>
        </w:rPr>
      </w:pPr>
      <w:r>
        <w:rPr>
          <w:rFonts w:ascii="Arial" w:cs="Arial" w:eastAsia="Arial" w:hAnsi="Arial"/>
          <w:sz w:val="18"/>
          <w:szCs w:val="18"/>
          <w:color w:val="auto"/>
        </w:rPr>
        <w:t>In December 2020, the Company issued a warrant for 30,000 shares of the Company’s common stock to a service provider with an exercise price of $18.00 per share. This warrant vests over a period of four years and expires in 2027. The fair value of the warrant was determined at the issuance date using the Black-Scholes option pricing model.</w:t>
      </w:r>
    </w:p>
    <w:p>
      <w:pPr>
        <w:spacing w:after="0" w:line="202"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In April 2021, the Company issued a warrant for 40,000 shares of the Company’s common stock to a former employee with an exercise price of $9.41 per share as a result of a settlement agreement with such former employee. The warrant was exercised in May 2021.</w:t>
      </w:r>
    </w:p>
    <w:p>
      <w:pPr>
        <w:spacing w:after="0" w:line="198" w:lineRule="exact"/>
        <w:rPr>
          <w:sz w:val="20"/>
          <w:szCs w:val="20"/>
          <w:color w:val="auto"/>
        </w:rPr>
      </w:pPr>
    </w:p>
    <w:p>
      <w:pPr>
        <w:jc w:val="both"/>
        <w:ind w:firstLine="637"/>
        <w:spacing w:after="0" w:line="245" w:lineRule="auto"/>
        <w:rPr>
          <w:sz w:val="20"/>
          <w:szCs w:val="20"/>
          <w:color w:val="auto"/>
        </w:rPr>
      </w:pPr>
      <w:r>
        <w:rPr>
          <w:rFonts w:ascii="Arial" w:cs="Arial" w:eastAsia="Arial" w:hAnsi="Arial"/>
          <w:sz w:val="18"/>
          <w:szCs w:val="18"/>
          <w:color w:val="auto"/>
        </w:rPr>
        <w:t>The Company recorded less than $0.1 million expense for the above warrants within operating expenses in the statements of operations during each of the years ended December 31,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Net Loss Per Share, Basic and Diluted</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w:t>
      </w:r>
    </w:p>
    <w:p>
      <w:pPr>
        <w:spacing w:after="0"/>
        <w:rPr>
          <w:sz w:val="20"/>
          <w:szCs w:val="20"/>
          <w:color w:val="auto"/>
        </w:rPr>
      </w:pPr>
      <w:r>
        <w:rPr>
          <w:rFonts w:ascii="Arial" w:cs="Arial" w:eastAsia="Arial" w:hAnsi="Arial"/>
          <w:sz w:val="18"/>
          <w:szCs w:val="18"/>
          <w:color w:val="auto"/>
        </w:rPr>
        <w:t>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(107,494 )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(71,317 )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rPr>
              <w:t>Weighted-average shares outstanding used in computing net loss per share, basic and</w:t>
            </w:r>
          </w:p>
        </w:tc>
        <w:tc>
          <w:tcPr>
            <w:tcW w:w="3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32,351,221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27,730,420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
              <w:spacing w:after="0" w:line="17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20" w:firstLine="637"/>
        <w:spacing w:after="0" w:line="245"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for the periods presented because including them would have been antidilutive: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3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3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223"/>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issued and outstanding</w:t>
            </w:r>
          </w:p>
        </w:tc>
        <w:tc>
          <w:tcPr>
            <w:tcW w:w="5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5,778,929</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3,881,274</w:t>
            </w:r>
          </w:p>
        </w:tc>
        <w:tc>
          <w:tcPr>
            <w:tcW w:w="100" w:type="dxa"/>
            <w:vAlign w:val="bottom"/>
            <w:shd w:val="clear" w:color="auto" w:fill="CFF0FC"/>
          </w:tcPr>
          <w:p>
            <w:pPr>
              <w:spacing w:after="0"/>
              <w:rPr>
                <w:sz w:val="19"/>
                <w:szCs w:val="19"/>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2020 ESPP</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393,289</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3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Common stock warrants</w:t>
            </w:r>
          </w:p>
        </w:tc>
        <w:tc>
          <w:tcPr>
            <w:tcW w:w="37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53,669</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980" w:type="dxa"/>
            <w:vAlign w:val="bottom"/>
          </w:tcPr>
          <w:p>
            <w:pPr>
              <w:ind w:left="280"/>
              <w:spacing w:after="0"/>
              <w:rPr>
                <w:sz w:val="20"/>
                <w:szCs w:val="20"/>
                <w:color w:val="auto"/>
              </w:rPr>
            </w:pPr>
            <w:r>
              <w:rPr>
                <w:rFonts w:ascii="Arial" w:cs="Arial" w:eastAsia="Arial" w:hAnsi="Arial"/>
                <w:sz w:val="18"/>
                <w:szCs w:val="18"/>
                <w:color w:val="auto"/>
              </w:rPr>
              <w:t>Total</w:t>
            </w:r>
          </w:p>
        </w:tc>
        <w:tc>
          <w:tcPr>
            <w:tcW w:w="376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6,225,887</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3,934,943</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980" w:type="dxa"/>
            <w:vAlign w:val="bottom"/>
          </w:tcPr>
          <w:p>
            <w:pPr>
              <w:spacing w:after="0"/>
              <w:rPr>
                <w:sz w:val="24"/>
                <w:szCs w:val="24"/>
                <w:color w:val="auto"/>
              </w:rPr>
            </w:pPr>
          </w:p>
        </w:tc>
        <w:tc>
          <w:tcPr>
            <w:tcW w:w="6060" w:type="dxa"/>
            <w:vAlign w:val="bottom"/>
            <w:gridSpan w:val="4"/>
          </w:tcPr>
          <w:p>
            <w:pPr>
              <w:ind w:left="1460"/>
              <w:spacing w:after="0"/>
              <w:rPr>
                <w:sz w:val="20"/>
                <w:szCs w:val="20"/>
                <w:color w:val="auto"/>
              </w:rPr>
            </w:pPr>
            <w:r>
              <w:rPr>
                <w:rFonts w:ascii="Arial" w:cs="Arial" w:eastAsia="Arial" w:hAnsi="Arial"/>
                <w:sz w:val="18"/>
                <w:szCs w:val="18"/>
                <w:color w:val="auto"/>
              </w:rPr>
              <w:t>F-32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8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-667385</wp:posOffset>
            </wp:positionV>
            <wp:extent cx="68580"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15. Derivative Liability</w:t>
      </w:r>
    </w:p>
    <w:p>
      <w:pPr>
        <w:spacing w:after="0" w:line="12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18"/>
          <w:szCs w:val="18"/>
          <w:color w:val="auto"/>
        </w:rPr>
        <w:t>The Company identified an embedded derivative resulting from the change of control provision in the CFF Agreement. Embedded derivatives that are required to be bifurcated from the underlying host instrument are accounted for and valued as separate financial instruments. At the inception of the derivative in 2017, the Company recognized this derivative as a liability and revenue was reduced by the initial fair value of the derivative liability. The Company remeasures the derivative liability to fair value at each reporting period and records the change in fair value of the derivative liability as other income (expense), net. The Company uses a present value analysis with multiple scenarios, which incorporates assumptions and estimates to value the derivative instrument. The Company assesses these assumptions and estimates on a periodic basis as additional information impacting the assumptions is obtained. Estimates and assumptions impacting the fair value measurement include the change of control payment to CFF (range of $0.0 million to $10.6 million at December 31, 2022 and 2021), the probability of a change of control event, the probability of the product achieving development or commercial status at time of change of control (range of 4.8% to 17.2% at December 31, 2022 and 2021) and the discount rate (15% at December 31, 2022 and 14.0% at December 31, 2021). The Company determined the estimated fair value of this liability as of the inception date of the CFF Agreement and concluded that the amount was immaterial. The Company determined the fair value of this derivative liability was $0.2 million as of December 31, 2022 and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Related Party Transactions</w:t>
      </w:r>
    </w:p>
    <w:p>
      <w:pPr>
        <w:spacing w:after="0" w:line="125" w:lineRule="exact"/>
        <w:rPr>
          <w:sz w:val="20"/>
          <w:szCs w:val="20"/>
          <w:color w:val="auto"/>
        </w:rPr>
      </w:pPr>
    </w:p>
    <w:p>
      <w:pPr>
        <w:jc w:val="both"/>
        <w:ind w:firstLine="637"/>
        <w:spacing w:after="0" w:line="235" w:lineRule="auto"/>
        <w:rPr>
          <w:sz w:val="20"/>
          <w:szCs w:val="20"/>
          <w:color w:val="auto"/>
        </w:rPr>
      </w:pPr>
      <w:r>
        <w:rPr>
          <w:rFonts w:ascii="Arial" w:cs="Arial" w:eastAsia="Arial" w:hAnsi="Arial"/>
          <w:sz w:val="18"/>
          <w:szCs w:val="18"/>
          <w:color w:val="auto"/>
        </w:rPr>
        <w:t>During the years ended December 31, 2022 and 2021, the Company paid $21,000 and $85,000, respectively, to David Schaffer, Ph.D., a co-founder, and former director and Chief Scientific Advisor of the Company for consulting services while Dr. Schaffer was a director. The Company made no payments to Dr. Schaffer during the year ended December 31, 2022 other than fees earned in his capacity as a member of the Company’s Board of Directors. In April 2019, the Company entered into two sponsored research agreements (“SRAs”) with the UC Regents to conduct research in a research facility on the U.C. Berkeley campus, under the direction of Dr. Schaffer. The SRAs had a three year term that ended in May 2022. Under the SRAs, the Company had an option to license (on a royalty-bearing basis) all intellectual property generated under the SRAs. The total amount the Company was committed to pay to the UC Regents under the SRAs was $1.4 million, which was fully paid as of December 31, 2022. In March 2021, the Company entered into another sponsored research agreement with the UC Regents to conduct research in laboratories on the U.C. Berkeley campus that are under the direction of Dr. Schaffer and another U.C. Berkeley professor covering investigations into how machine learning approaches may enhance AAV capsid engineering (the “Machine Learning SRA”). Pursuant to the Machine Learning SRA, the Company committed to pay the UC Regents a total of $1.4 million, of which $0.4 million was paid as of December 31, 2022. The Machine Learning SRA had a three-year term ending in 2024. The Company could terminate the Machine Learning SRA for convenience and without cause with 60 days’ notice. The Machine Learning SRA was terminated by the Company in March 2022. While the Machine Learning SRA was between the Company and the UC Regents, the payments under the SRA were used to fund the lab under the direction of Dr. Schaffer. As of December 31, 2022 and 2021, accounts payable to the UC Regents related to the SRAs and Machine Learning SRA was $0.0 million. Any patent prosecution costs incurred under the Machine Learning SRA and the SRAs were borne by the Company. In the years ended December 31, 2022, and 2021, the Company recorded $0.3 million and $0.9 million, respectively, of expense related to these agreements.</w:t>
      </w:r>
    </w:p>
    <w:p>
      <w:pPr>
        <w:spacing w:after="0" w:line="200" w:lineRule="exact"/>
        <w:rPr>
          <w:sz w:val="20"/>
          <w:szCs w:val="20"/>
          <w:color w:val="auto"/>
        </w:rPr>
      </w:pPr>
    </w:p>
    <w:p>
      <w:pPr>
        <w:spacing w:after="0" w:line="30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February 2022, the Machine Learning SRA and the SRAs ceased to be related party transactions upon the resignation of Dr. Schaffer from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3"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i w:val="1"/>
          <w:iCs w:val="1"/>
          <w:color w:val="auto"/>
        </w:rPr>
        <w:t>17. 401(k) Plan</w:t>
      </w:r>
    </w:p>
    <w:p>
      <w:pPr>
        <w:spacing w:after="0" w:line="125" w:lineRule="exact"/>
        <w:rPr>
          <w:sz w:val="20"/>
          <w:szCs w:val="20"/>
          <w:color w:val="auto"/>
        </w:rPr>
      </w:pPr>
    </w:p>
    <w:p>
      <w:pPr>
        <w:jc w:val="both"/>
        <w:ind w:firstLine="644"/>
        <w:spacing w:after="0" w:line="238" w:lineRule="auto"/>
        <w:rPr>
          <w:sz w:val="20"/>
          <w:szCs w:val="20"/>
          <w:color w:val="auto"/>
        </w:rPr>
      </w:pPr>
      <w:r>
        <w:rPr>
          <w:rFonts w:ascii="Arial" w:cs="Arial" w:eastAsia="Arial" w:hAnsi="Arial"/>
          <w:sz w:val="18"/>
          <w:szCs w:val="18"/>
          <w:color w:val="auto"/>
        </w:rPr>
        <w:t>In 2014, the Company adopted a 401(k) plan for all employees who have met certain eligibility requirements. The 401(k) plan allows employees to make pre-tax and post-tax contributions up to the maximum allowable amount set by the Internal Revenue Service. The Company made contributions to the Plan for eligible participants, and recorded contribution expenses of $0.9 million and $0.5 million for the years ended December 31, 2022 and 2021,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Subsequent Events</w:t>
      </w:r>
    </w:p>
    <w:p>
      <w:pPr>
        <w:spacing w:after="0" w:line="260" w:lineRule="exact"/>
        <w:rPr>
          <w:sz w:val="20"/>
          <w:szCs w:val="20"/>
          <w:color w:val="auto"/>
        </w:rPr>
      </w:pPr>
    </w:p>
    <w:p>
      <w:pPr>
        <w:jc w:val="both"/>
        <w:ind w:firstLine="644"/>
        <w:spacing w:after="0" w:line="236" w:lineRule="auto"/>
        <w:rPr>
          <w:sz w:val="20"/>
          <w:szCs w:val="20"/>
          <w:color w:val="auto"/>
        </w:rPr>
      </w:pPr>
      <w:r>
        <w:rPr>
          <w:rFonts w:ascii="Arial" w:cs="Arial" w:eastAsia="Arial" w:hAnsi="Arial"/>
          <w:sz w:val="18"/>
          <w:szCs w:val="18"/>
          <w:color w:val="auto"/>
        </w:rPr>
        <w:t>In March 2022, the Company entered into the Open Market Sales Agreement with Jefferies relating to the sale of shares of its common stock. In accordance with the terms of the Open Market Sales Agreement, the Company may offer shares of its common stock having an aggregate offering price of up to $100 million from time to time through Jefferies, acting as its sales agent. As of March 3, 2023, approximately 0.5 million shares were sold pursuant to the Open Market Sales Agreement for net proceeds to the Company of $9.6 million, after deducting issuance costs. As of March 3, 2023, $90.1 million of the Company's common stock remained available to be sold under the Open Market Sales Agreement, subject to conditions specified in the Open Market Sales Agreement. There were no shares sold under the Open Market Sales Agreement subsequent to March 3, 2023.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REGISTERED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12 OF THE SECURITIES EXCHANGE ACT OF 1934</w:t>
      </w:r>
    </w:p>
    <w:p>
      <w:pPr>
        <w:spacing w:after="0" w:line="210" w:lineRule="exact"/>
        <w:rPr>
          <w:sz w:val="20"/>
          <w:szCs w:val="20"/>
          <w:color w:val="auto"/>
        </w:rPr>
      </w:pPr>
    </w:p>
    <w:p>
      <w:pPr>
        <w:ind w:right="760" w:firstLine="674"/>
        <w:spacing w:after="0" w:line="277" w:lineRule="auto"/>
        <w:rPr>
          <w:sz w:val="20"/>
          <w:szCs w:val="20"/>
          <w:color w:val="auto"/>
        </w:rPr>
      </w:pPr>
      <w:r>
        <w:rPr>
          <w:rFonts w:ascii="Arial" w:cs="Arial" w:eastAsia="Arial" w:hAnsi="Arial"/>
          <w:sz w:val="18"/>
          <w:szCs w:val="18"/>
          <w:color w:val="auto"/>
        </w:rPr>
        <w:t>As of December 31, 2022, 4D Molecular Therapeutics, Inc. had one class of common stock registered under Section 12 of the Securities Exchange Act of 1934, as amended (the “Exchange Act”).</w:t>
      </w:r>
    </w:p>
    <w:p>
      <w:pPr>
        <w:spacing w:after="0" w:line="169" w:lineRule="exact"/>
        <w:rPr>
          <w:sz w:val="20"/>
          <w:szCs w:val="20"/>
          <w:color w:val="auto"/>
        </w:rPr>
      </w:pPr>
    </w:p>
    <w:p>
      <w:pPr>
        <w:ind w:right="40" w:firstLine="674"/>
        <w:spacing w:after="0" w:line="273" w:lineRule="auto"/>
        <w:rPr>
          <w:sz w:val="20"/>
          <w:szCs w:val="20"/>
          <w:color w:val="auto"/>
        </w:rPr>
      </w:pPr>
      <w:r>
        <w:rPr>
          <w:rFonts w:ascii="Arial" w:cs="Arial" w:eastAsia="Arial" w:hAnsi="Arial"/>
          <w:sz w:val="17"/>
          <w:szCs w:val="17"/>
          <w:color w:val="auto"/>
        </w:rPr>
        <w:t>The following summary describes our capital stock and the material provisions of our amended and restated certificate of incorporation, our amended and restated bylaws, the amended and restated investors’ rights agreement to which we and certain of our stockholders are parties, and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each of which is incorporated herein by reference as an exhibit to the Annual Report on Form 10-K filed with the Securities and Exchange Commission, of which this Exhibit 4.1 is a part.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180" w:firstLine="674"/>
        <w:spacing w:after="0" w:line="341" w:lineRule="auto"/>
        <w:rPr>
          <w:sz w:val="20"/>
          <w:szCs w:val="20"/>
          <w:color w:val="auto"/>
        </w:rPr>
      </w:pPr>
      <w:r>
        <w:rPr>
          <w:rFonts w:ascii="Arial" w:cs="Arial" w:eastAsia="Arial" w:hAnsi="Arial"/>
          <w:sz w:val="16"/>
          <w:szCs w:val="16"/>
          <w:color w:val="auto"/>
        </w:rPr>
        <w:t>Our authorized capital stock consists of 300,000,000 shares of common stock, $0.0001 par value per share, and 10,000,000 shares of preferred stock, $0.0001 par value per share. Unless our board of directors determines otherwise, we will issue all shares of our capital stock in uncertificated form.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2022, there were approximately 18 stockholders of record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right="180" w:firstLine="674"/>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640" w:firstLine="674"/>
        <w:spacing w:after="0" w:line="277"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25" w:lineRule="exact"/>
        <w:rPr>
          <w:sz w:val="20"/>
          <w:szCs w:val="20"/>
          <w:color w:val="auto"/>
        </w:rPr>
      </w:pPr>
    </w:p>
    <w:p>
      <w:pPr>
        <w:ind w:right="120" w:firstLine="674"/>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and Preferences</w:t>
      </w:r>
    </w:p>
    <w:p>
      <w:pPr>
        <w:spacing w:after="0" w:line="225" w:lineRule="exact"/>
        <w:rPr>
          <w:sz w:val="20"/>
          <w:szCs w:val="20"/>
          <w:color w:val="auto"/>
        </w:rPr>
      </w:pPr>
    </w:p>
    <w:p>
      <w:pPr>
        <w:ind w:right="120" w:firstLine="674"/>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Fully Paid and Nonassessable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All of our outstanding shares of common stock are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Convertible Preferred Stock</w:t>
      </w:r>
    </w:p>
    <w:p>
      <w:pPr>
        <w:spacing w:after="0" w:line="229" w:lineRule="exact"/>
        <w:rPr>
          <w:sz w:val="20"/>
          <w:szCs w:val="20"/>
          <w:color w:val="auto"/>
        </w:rPr>
      </w:pPr>
    </w:p>
    <w:p>
      <w:pPr>
        <w:ind w:right="120" w:firstLine="674"/>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our liquidation. In addition, the issuance of preferred stock could have the effect of delaying, deferring or preventing a change in control or other corporate action. As of December 31, 2022, no shares of preferred stock are outstanding, and we have no present plan to issue any shares of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60" w:firstLine="674"/>
        <w:spacing w:after="0" w:line="279" w:lineRule="auto"/>
        <w:rPr>
          <w:sz w:val="20"/>
          <w:szCs w:val="20"/>
          <w:color w:val="auto"/>
        </w:rPr>
      </w:pPr>
      <w:r>
        <w:rPr>
          <w:rFonts w:ascii="Arial" w:cs="Arial" w:eastAsia="Arial" w:hAnsi="Arial"/>
          <w:sz w:val="17"/>
          <w:szCs w:val="17"/>
          <w:color w:val="auto"/>
        </w:rPr>
        <w:t>Under our amended and restated investors’ rights agreement, based on the number of shares outstanding as of December 31, 2022, the holders of 1.9 million shares of our common stock, or their transferees, have the right to require us to register their shares under the Securities Act of 1933, as amended (the “Securities Act”) so that those shares may be publicly resold, and the holders of 1.9 million shares of our common stock, or their transferees, have the right to include their shares in any registration statement we file, in each case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160" w:firstLine="674"/>
        <w:spacing w:after="0" w:line="259" w:lineRule="auto"/>
        <w:rPr>
          <w:sz w:val="20"/>
          <w:szCs w:val="20"/>
          <w:color w:val="auto"/>
        </w:rPr>
      </w:pPr>
      <w:r>
        <w:rPr>
          <w:rFonts w:ascii="Arial" w:cs="Arial" w:eastAsia="Arial" w:hAnsi="Arial"/>
          <w:sz w:val="18"/>
          <w:szCs w:val="18"/>
          <w:color w:val="auto"/>
        </w:rPr>
        <w:t>Based on the number of shares outstanding as of December 31, 2022, the holders of 1.9 million shares of our common stock (on an as-converted basis), or their transferees, are entitled to certain demand registration rights. The holders of at least 50% of these shares can, on not more than two occasions, request that we register all or a portion of their shares if the aggregate price to the public of the shares offered is at least $30.0 million (before deductions of underwriters’ commissions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firstLine="674"/>
        <w:spacing w:after="0" w:line="290" w:lineRule="auto"/>
        <w:rPr>
          <w:sz w:val="20"/>
          <w:szCs w:val="20"/>
          <w:color w:val="auto"/>
        </w:rPr>
      </w:pPr>
      <w:r>
        <w:rPr>
          <w:rFonts w:ascii="Arial" w:cs="Arial" w:eastAsia="Arial" w:hAnsi="Arial"/>
          <w:sz w:val="16"/>
          <w:szCs w:val="16"/>
          <w:color w:val="auto"/>
        </w:rPr>
        <w:t>Based on the number of shares outstanding as of December 31, 2022, in the event that we determine to register any of our securities under the Securities Act (subject to certain exceptions), either for our own account or for the account of other security holders, the holders of 1.9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exclude or limit the number of shares such holders may include.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S-3 Registration Rights</w:t>
      </w:r>
    </w:p>
    <w:p>
      <w:pPr>
        <w:spacing w:after="0" w:line="225" w:lineRule="exact"/>
        <w:rPr>
          <w:sz w:val="20"/>
          <w:szCs w:val="20"/>
          <w:color w:val="auto"/>
        </w:rPr>
      </w:pPr>
    </w:p>
    <w:p>
      <w:pPr>
        <w:ind w:right="40" w:firstLine="674"/>
        <w:spacing w:after="0" w:line="279" w:lineRule="auto"/>
        <w:rPr>
          <w:sz w:val="20"/>
          <w:szCs w:val="20"/>
          <w:color w:val="auto"/>
        </w:rPr>
      </w:pPr>
      <w:r>
        <w:rPr>
          <w:rFonts w:ascii="Arial" w:cs="Arial" w:eastAsia="Arial" w:hAnsi="Arial"/>
          <w:sz w:val="17"/>
          <w:szCs w:val="17"/>
          <w:color w:val="auto"/>
        </w:rPr>
        <w:t>Based on the number of shares outstanding as of December 31, 2022, the holders of 1.9 million shares of our common stock (on an as-converted basis), or their transferees, are entitled to certain Form S-3 registration rights. The holders of at least 30% of these registrable securities then outstanding can make a written request that we register their shares on Form S-3 if we are eligible to file a registration statement on Form S-3 and if the aggregate price to the public of the shares offered is at least $5.0 million (before deductions of underwriters’ commissions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8" w:name="page169"/>
    <w:bookmarkEnd w:id="168"/>
    <w:p>
      <w:pPr>
        <w:ind w:right="180"/>
        <w:spacing w:after="0" w:line="277" w:lineRule="auto"/>
        <w:rPr>
          <w:sz w:val="20"/>
          <w:szCs w:val="20"/>
          <w:color w:val="auto"/>
        </w:rPr>
      </w:pPr>
      <w:r>
        <w:rPr>
          <w:rFonts w:ascii="Arial" w:cs="Arial" w:eastAsia="Arial" w:hAnsi="Arial"/>
          <w:sz w:val="18"/>
          <w:szCs w:val="18"/>
          <w:color w:val="auto"/>
        </w:rPr>
        <w:t>expenses). These stockholders may make an unlimited number of requests for registration on Form S-3, but in no event shall we be required to file more than two registrations on Form S-3 in any given twelve-month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of Registration</w:t>
      </w:r>
    </w:p>
    <w:p>
      <w:pPr>
        <w:spacing w:after="0" w:line="225" w:lineRule="exact"/>
        <w:rPr>
          <w:sz w:val="20"/>
          <w:szCs w:val="20"/>
          <w:color w:val="auto"/>
        </w:rPr>
      </w:pPr>
    </w:p>
    <w:p>
      <w:pPr>
        <w:ind w:right="120" w:firstLine="674"/>
        <w:spacing w:after="0" w:line="307" w:lineRule="auto"/>
        <w:rPr>
          <w:sz w:val="20"/>
          <w:szCs w:val="20"/>
          <w:color w:val="auto"/>
        </w:rPr>
      </w:pPr>
      <w:r>
        <w:rPr>
          <w:rFonts w:ascii="Arial" w:cs="Arial" w:eastAsia="Arial" w:hAnsi="Arial"/>
          <w:sz w:val="17"/>
          <w:szCs w:val="17"/>
          <w:color w:val="auto"/>
        </w:rPr>
        <w:t>We will pay the registration expenses of the holders of the shares registered pursuant to the demand, piggyback and Form S-3 registration rights described above, including the expenses in an amount not to exceed $25,000 of one special counsel for the selling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225" w:lineRule="exact"/>
        <w:rPr>
          <w:sz w:val="20"/>
          <w:szCs w:val="20"/>
          <w:color w:val="auto"/>
        </w:rPr>
      </w:pPr>
    </w:p>
    <w:p>
      <w:pPr>
        <w:jc w:val="both"/>
        <w:ind w:right="60" w:firstLine="674"/>
        <w:spacing w:after="0" w:line="311" w:lineRule="auto"/>
        <w:rPr>
          <w:sz w:val="20"/>
          <w:szCs w:val="20"/>
          <w:color w:val="auto"/>
        </w:rPr>
      </w:pPr>
      <w:r>
        <w:rPr>
          <w:rFonts w:ascii="Arial" w:cs="Arial" w:eastAsia="Arial" w:hAnsi="Arial"/>
          <w:sz w:val="16"/>
          <w:szCs w:val="16"/>
          <w:color w:val="auto"/>
        </w:rPr>
        <w:t>The demand, piggyback and Form S-3 registration rights described above will expire, with respect to any particular stockholder, upon the earlier of December 10, 2025 or when that stockholder can sell all of its shares under Rule 144 of the Securities Act during any three-month period (and without the requirement for us to be in compliance with the current public information required under Section c(1) of Rule 144 of the Securities Act).</w:t>
      </w:r>
    </w:p>
    <w:p>
      <w:pPr>
        <w:spacing w:after="0" w:line="144"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Amended and Restated Bylaws and Delaware Law</w:t>
      </w:r>
    </w:p>
    <w:p>
      <w:pPr>
        <w:spacing w:after="0" w:line="167" w:lineRule="exact"/>
        <w:rPr>
          <w:sz w:val="20"/>
          <w:szCs w:val="20"/>
          <w:color w:val="auto"/>
        </w:rPr>
      </w:pPr>
    </w:p>
    <w:p>
      <w:pPr>
        <w:ind w:firstLine="674"/>
        <w:spacing w:after="0" w:line="256" w:lineRule="auto"/>
        <w:rPr>
          <w:sz w:val="20"/>
          <w:szCs w:val="20"/>
          <w:color w:val="auto"/>
        </w:rPr>
      </w:pPr>
      <w:r>
        <w:rPr>
          <w:rFonts w:ascii="Arial" w:cs="Arial" w:eastAsia="Arial" w:hAnsi="Arial"/>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91" w:lineRule="exact"/>
        <w:rPr>
          <w:sz w:val="20"/>
          <w:szCs w:val="20"/>
          <w:color w:val="auto"/>
        </w:rPr>
      </w:pPr>
    </w:p>
    <w:p>
      <w:pPr>
        <w:ind w:right="80" w:firstLine="674"/>
        <w:spacing w:after="0" w:line="301"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Statute</w:t>
      </w:r>
    </w:p>
    <w:p>
      <w:pPr>
        <w:spacing w:after="0" w:line="225" w:lineRule="exact"/>
        <w:rPr>
          <w:sz w:val="20"/>
          <w:szCs w:val="20"/>
          <w:color w:val="auto"/>
        </w:rPr>
      </w:pPr>
    </w:p>
    <w:p>
      <w:pPr>
        <w:ind w:right="100" w:firstLine="674"/>
        <w:spacing w:after="0" w:line="270"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Undesignated Preferred Stock</w:t>
      </w:r>
    </w:p>
    <w:p>
      <w:pPr>
        <w:spacing w:after="0" w:line="225" w:lineRule="exact"/>
        <w:rPr>
          <w:sz w:val="20"/>
          <w:szCs w:val="20"/>
          <w:color w:val="auto"/>
        </w:rPr>
      </w:pPr>
    </w:p>
    <w:p>
      <w:pPr>
        <w:ind w:right="60" w:firstLine="674"/>
        <w:spacing w:after="0" w:line="263" w:lineRule="auto"/>
        <w:rPr>
          <w:sz w:val="20"/>
          <w:szCs w:val="20"/>
          <w:color w:val="auto"/>
        </w:rPr>
      </w:pPr>
      <w:r>
        <w:rPr>
          <w:rFonts w:ascii="Arial" w:cs="Arial" w:eastAsia="Arial" w:hAnsi="Arial"/>
          <w:sz w:val="18"/>
          <w:szCs w:val="18"/>
          <w:color w:val="auto"/>
        </w:rPr>
        <w:t>The ability to authorize undesignated preferred stock will make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color w:val="auto"/>
        </w:rPr>
        <w:t>Special Stockholder Meetings</w:t>
      </w:r>
    </w:p>
    <w:p>
      <w:pPr>
        <w:spacing w:after="0" w:line="225" w:lineRule="exact"/>
        <w:rPr>
          <w:sz w:val="20"/>
          <w:szCs w:val="20"/>
          <w:color w:val="auto"/>
        </w:rPr>
      </w:pPr>
    </w:p>
    <w:p>
      <w:pPr>
        <w:ind w:right="540" w:firstLine="674"/>
        <w:spacing w:after="0" w:line="307" w:lineRule="auto"/>
        <w:rPr>
          <w:sz w:val="20"/>
          <w:szCs w:val="20"/>
          <w:color w:val="auto"/>
        </w:rPr>
      </w:pPr>
      <w:r>
        <w:rPr>
          <w:rFonts w:ascii="Arial" w:cs="Arial" w:eastAsia="Arial" w:hAnsi="Arial"/>
          <w:sz w:val="17"/>
          <w:szCs w:val="17"/>
          <w:color w:val="auto"/>
        </w:rPr>
        <w:t>Our amended and restated bylaws provide that a special meeting of stockholders may be called at any time by our board of directors, or our President or Chief Executive Officer, but such special meetings may not be called by our stockholders or any other person or persons.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225" w:lineRule="exact"/>
        <w:rPr>
          <w:sz w:val="20"/>
          <w:szCs w:val="20"/>
          <w:color w:val="auto"/>
        </w:rPr>
      </w:pPr>
    </w:p>
    <w:p>
      <w:pPr>
        <w:ind w:right="180" w:firstLine="674"/>
        <w:spacing w:after="0" w:line="341" w:lineRule="auto"/>
        <w:rPr>
          <w:sz w:val="20"/>
          <w:szCs w:val="20"/>
          <w:color w:val="auto"/>
        </w:rPr>
      </w:pPr>
      <w:r>
        <w:rPr>
          <w:rFonts w:ascii="Arial" w:cs="Arial" w:eastAsia="Arial" w:hAnsi="Arial"/>
          <w:sz w:val="16"/>
          <w:szCs w:val="16"/>
          <w:color w:val="auto"/>
        </w:rPr>
        <w:t>Our amended and restated bylaws established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25" w:lineRule="exact"/>
        <w:rPr>
          <w:sz w:val="20"/>
          <w:szCs w:val="20"/>
          <w:color w:val="auto"/>
        </w:rPr>
      </w:pPr>
    </w:p>
    <w:p>
      <w:pPr>
        <w:ind w:right="160" w:firstLine="674"/>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do not provide for the right of stockholders to act by written consent without a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Election and Removal of Directors; Filling Vacancies</w:t>
      </w:r>
    </w:p>
    <w:p>
      <w:pPr>
        <w:spacing w:after="0" w:line="225" w:lineRule="exact"/>
        <w:rPr>
          <w:sz w:val="20"/>
          <w:szCs w:val="20"/>
          <w:color w:val="auto"/>
        </w:rPr>
      </w:pPr>
    </w:p>
    <w:p>
      <w:pPr>
        <w:ind w:firstLine="674"/>
        <w:spacing w:after="0" w:line="253" w:lineRule="auto"/>
        <w:rPr>
          <w:sz w:val="20"/>
          <w:szCs w:val="20"/>
          <w:color w:val="auto"/>
        </w:rPr>
      </w:pPr>
      <w:r>
        <w:rPr>
          <w:rFonts w:ascii="Arial" w:cs="Arial" w:eastAsia="Arial" w:hAnsi="Arial"/>
          <w:sz w:val="18"/>
          <w:szCs w:val="18"/>
          <w:color w:val="auto"/>
        </w:rPr>
        <w:t>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our common stock outstanding are able to elect all of our directors. Our amended and restated certificate of incorporation provides for the removal of any of our directors only for cause and requires a stockholder vote by the holders of at least a 66 2/3% of the voting power of the then outstanding voting stock. Furthermore, any vacancy on our board of directors, however occurring, including a vacancy resulting from an increase in the size of our board of directors, may only be filled by a resolution of our board of directors unless our board of directors determines that such vacancies shall be filled by our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Choice of Forum</w:t>
      </w:r>
    </w:p>
    <w:p>
      <w:pPr>
        <w:spacing w:after="0" w:line="225" w:lineRule="exact"/>
        <w:rPr>
          <w:sz w:val="20"/>
          <w:szCs w:val="20"/>
          <w:color w:val="auto"/>
        </w:rPr>
      </w:pPr>
    </w:p>
    <w:p>
      <w:pPr>
        <w:ind w:right="60" w:firstLine="674"/>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or stockholders to us or to our stockholders; any action asserting a claim against us arising pursuant to the Delaware General Corporation Law, our amended and restated certificate of incorporation or our amended and restated bylaws (as either may be amended from time to time);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of action against us or any of our directors, officers, employees or agents and arising under the Securities Act. Nothing in our amended and restated certificate of incorporation and amended and restated bylaws preclude stockholders that assert claims under the Exchange Act from bringing such claims in state or federal court, subject to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0" w:name="page171"/>
    <w:bookmarkEnd w:id="170"/>
    <w:p>
      <w:pPr>
        <w:ind w:right="20" w:firstLine="674"/>
        <w:spacing w:after="0" w:line="271" w:lineRule="auto"/>
        <w:rPr>
          <w:sz w:val="20"/>
          <w:szCs w:val="20"/>
          <w:color w:val="auto"/>
        </w:rPr>
      </w:pPr>
      <w:r>
        <w:rPr>
          <w:rFonts w:ascii="Arial" w:cs="Arial" w:eastAsia="Arial" w:hAnsi="Arial"/>
          <w:sz w:val="17"/>
          <w:szCs w:val="17"/>
          <w:color w:val="auto"/>
        </w:rPr>
        <w:t>If any action the subject matter of which is within the scope described above is filed in a court other than a court located within the State of Delaware (a “Foreign Action”),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amended and restated certificate of incorporation and amended and restated bylaws and having service of process made upon such stockholder in any such action by service upon such stockholder’s counsel in the Foreign Action as agent for such stockholder. 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181" w:lineRule="exact"/>
        <w:rPr>
          <w:sz w:val="20"/>
          <w:szCs w:val="20"/>
          <w:color w:val="auto"/>
        </w:rPr>
      </w:pPr>
    </w:p>
    <w:p>
      <w:pPr>
        <w:jc w:val="both"/>
        <w:ind w:right="100" w:firstLine="674"/>
        <w:spacing w:after="0" w:line="286"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Provisions</w:t>
      </w:r>
    </w:p>
    <w:p>
      <w:pPr>
        <w:spacing w:after="0" w:line="225" w:lineRule="exact"/>
        <w:rPr>
          <w:sz w:val="20"/>
          <w:szCs w:val="20"/>
          <w:color w:val="auto"/>
        </w:rPr>
      </w:pPr>
    </w:p>
    <w:p>
      <w:pPr>
        <w:ind w:right="60" w:firstLine="674"/>
        <w:spacing w:after="0" w:line="263" w:lineRule="auto"/>
        <w:rPr>
          <w:sz w:val="20"/>
          <w:szCs w:val="20"/>
          <w:color w:val="auto"/>
        </w:rPr>
      </w:pPr>
      <w:r>
        <w:rPr>
          <w:rFonts w:ascii="Arial" w:cs="Arial" w:eastAsia="Arial" w:hAnsi="Arial"/>
          <w:sz w:val="18"/>
          <w:szCs w:val="18"/>
          <w:color w:val="auto"/>
        </w:rPr>
        <w:t>The amendment of any of the above provisions in our amended and restated certificate of incorporation, except for the provision making it possible for our board of directors to issue undesignated preferred stock, requires approval by a stockholder vote by the holders of at least a 66 2/3% of the voting power of the then outstanding voting stock.</w:t>
      </w:r>
    </w:p>
    <w:p>
      <w:pPr>
        <w:spacing w:after="0" w:line="183" w:lineRule="exact"/>
        <w:rPr>
          <w:sz w:val="20"/>
          <w:szCs w:val="20"/>
          <w:color w:val="auto"/>
        </w:rPr>
      </w:pPr>
    </w:p>
    <w:p>
      <w:pPr>
        <w:ind w:right="120" w:firstLine="674"/>
        <w:spacing w:after="0" w:line="256"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29" w:lineRule="exact"/>
        <w:rPr>
          <w:sz w:val="20"/>
          <w:szCs w:val="20"/>
          <w:color w:val="auto"/>
        </w:rPr>
      </w:pPr>
    </w:p>
    <w:p>
      <w:pPr>
        <w:ind w:right="120" w:firstLine="674"/>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75" w:lineRule="exact"/>
        <w:rPr>
          <w:sz w:val="20"/>
          <w:szCs w:val="20"/>
          <w:color w:val="auto"/>
        </w:rPr>
      </w:pPr>
    </w:p>
    <w:p>
      <w:pPr>
        <w:ind w:left="1020" w:hanging="50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4" w:lineRule="exact"/>
        <w:rPr>
          <w:rFonts w:ascii="Arial" w:cs="Arial" w:eastAsia="Arial" w:hAnsi="Arial"/>
          <w:sz w:val="18"/>
          <w:szCs w:val="18"/>
          <w:color w:val="auto"/>
        </w:rPr>
      </w:pPr>
    </w:p>
    <w:p>
      <w:pPr>
        <w:ind w:left="1020" w:hanging="50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4" w:lineRule="exact"/>
        <w:rPr>
          <w:rFonts w:ascii="Arial" w:cs="Arial" w:eastAsia="Arial" w:hAnsi="Arial"/>
          <w:sz w:val="18"/>
          <w:szCs w:val="18"/>
          <w:color w:val="auto"/>
        </w:rPr>
      </w:pPr>
    </w:p>
    <w:p>
      <w:pPr>
        <w:ind w:left="1020" w:right="780" w:hanging="504"/>
        <w:spacing w:after="0" w:line="27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69" w:lineRule="exact"/>
        <w:rPr>
          <w:rFonts w:ascii="Arial" w:cs="Arial" w:eastAsia="Arial" w:hAnsi="Arial"/>
          <w:sz w:val="18"/>
          <w:szCs w:val="18"/>
          <w:color w:val="auto"/>
        </w:rPr>
      </w:pPr>
    </w:p>
    <w:p>
      <w:pPr>
        <w:ind w:left="1020" w:hanging="504"/>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674"/>
        <w:spacing w:after="0" w:line="270" w:lineRule="auto"/>
        <w:rPr>
          <w:sz w:val="20"/>
          <w:szCs w:val="20"/>
          <w:color w:val="auto"/>
        </w:rPr>
      </w:pPr>
      <w:r>
        <w:rPr>
          <w:rFonts w:ascii="Arial" w:cs="Arial" w:eastAsia="Arial" w:hAnsi="Arial"/>
          <w:sz w:val="17"/>
          <w:szCs w:val="17"/>
          <w:color w:val="auto"/>
        </w:rPr>
        <w:t>Each of our amended and restated certificate of incorporation and amended and restated bylaws provides that we are required to indemnify our directors and officers, in each case to the fullest extent permitted by Delaware law. Our amended and restated bylaws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agreements are necessary to attract and retain qualified persons as directors and officers. We also maintain directors’ and officers’ liability insurance.</w:t>
      </w:r>
    </w:p>
    <w:p>
      <w:pPr>
        <w:spacing w:after="0" w:line="248" w:lineRule="exact"/>
        <w:rPr>
          <w:sz w:val="20"/>
          <w:szCs w:val="20"/>
          <w:color w:val="auto"/>
        </w:rPr>
      </w:pPr>
    </w:p>
    <w:p>
      <w:pPr>
        <w:ind w:firstLine="674"/>
        <w:spacing w:after="0" w:line="279"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Our common stock is listed on the Nasdaq Global Select Market under the symbol “FDMT.”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00" w:firstLine="674"/>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hereby consent to the incorporation by reference in the Registration Statements on Form S-8 (Nos. 333-263908, 333-254701 and 333-251370) of 4D Molecular Therapeutics, Inc. of our report dated March 15, 2023 relating to the financial statements,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RULES 13a-14(a) AND</w:t>
      </w:r>
    </w:p>
    <w:p>
      <w:pPr>
        <w:jc w:val="center"/>
        <w:ind w:right="40"/>
        <w:spacing w:after="0" w:line="234" w:lineRule="auto"/>
        <w:rPr>
          <w:sz w:val="20"/>
          <w:szCs w:val="20"/>
          <w:color w:val="auto"/>
        </w:rPr>
      </w:pPr>
      <w:r>
        <w:rPr>
          <w:rFonts w:ascii="Arial" w:cs="Arial" w:eastAsia="Arial" w:hAnsi="Arial"/>
          <w:sz w:val="18"/>
          <w:szCs w:val="18"/>
          <w:b w:val="1"/>
          <w:bCs w:val="1"/>
          <w:color w:val="auto"/>
        </w:rPr>
        <w:t>15d-14(a) UNDER THE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David Kirn, certify that:</w:t>
      </w:r>
    </w:p>
    <w:p>
      <w:pPr>
        <w:spacing w:after="0" w:line="117" w:lineRule="exact"/>
        <w:rPr>
          <w:sz w:val="20"/>
          <w:szCs w:val="20"/>
          <w:color w:val="auto"/>
        </w:rPr>
      </w:pPr>
    </w:p>
    <w:p>
      <w:pPr>
        <w:ind w:left="760" w:hanging="37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16" w:lineRule="exact"/>
        <w:rPr>
          <w:rFonts w:ascii="Arial" w:cs="Arial" w:eastAsia="Arial" w:hAnsi="Arial"/>
          <w:sz w:val="18"/>
          <w:szCs w:val="18"/>
          <w:color w:val="auto"/>
        </w:rPr>
      </w:pPr>
    </w:p>
    <w:p>
      <w:pPr>
        <w:ind w:left="760" w:right="360" w:hanging="37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8"/>
          <w:szCs w:val="18"/>
          <w:color w:val="auto"/>
        </w:rPr>
      </w:pPr>
    </w:p>
    <w:p>
      <w:pPr>
        <w:ind w:left="760" w:right="40" w:hanging="37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8"/>
          <w:szCs w:val="18"/>
          <w:color w:val="auto"/>
        </w:rPr>
      </w:pPr>
    </w:p>
    <w:p>
      <w:pPr>
        <w:ind w:left="760" w:right="140" w:hanging="37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140" w:right="180" w:hanging="383"/>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color w:val="auto"/>
        </w:rPr>
      </w:pPr>
    </w:p>
    <w:p>
      <w:pPr>
        <w:ind w:left="1140" w:right="180" w:hanging="383"/>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color w:val="auto"/>
        </w:rPr>
      </w:pPr>
    </w:p>
    <w:p>
      <w:pPr>
        <w:jc w:val="both"/>
        <w:ind w:left="1140" w:right="120" w:hanging="383"/>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8"/>
          <w:szCs w:val="18"/>
          <w:color w:val="auto"/>
        </w:rPr>
      </w:pPr>
    </w:p>
    <w:p>
      <w:pPr>
        <w:ind w:left="1140" w:right="240" w:hanging="383"/>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760" w:right="40" w:hanging="378"/>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8"/>
          <w:szCs w:val="18"/>
          <w:color w:val="auto"/>
        </w:rPr>
      </w:pPr>
    </w:p>
    <w:p>
      <w:pPr>
        <w:ind w:left="1140" w:right="100" w:hanging="383"/>
        <w:spacing w:after="0"/>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8"/>
          <w:szCs w:val="18"/>
          <w:color w:val="auto"/>
        </w:rPr>
      </w:pPr>
    </w:p>
    <w:p>
      <w:pPr>
        <w:ind w:left="1140" w:right="40" w:hanging="383"/>
        <w:spacing w:after="0" w:line="245" w:lineRule="auto"/>
        <w:tabs>
          <w:tab w:leader="none" w:pos="11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5620" w:val="left"/>
          <w:tab w:leader="none" w:pos="6120" w:val="left"/>
        </w:tabs>
        <w:rPr>
          <w:sz w:val="20"/>
          <w:szCs w:val="20"/>
          <w:color w:val="auto"/>
        </w:rPr>
      </w:pPr>
      <w:r>
        <w:rPr>
          <w:rFonts w:ascii="Arial" w:cs="Arial" w:eastAsia="Arial" w:hAnsi="Arial"/>
          <w:sz w:val="18"/>
          <w:szCs w:val="18"/>
          <w:color w:val="auto"/>
        </w:rPr>
        <w:t>Dated: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6350</wp:posOffset>
            </wp:positionV>
            <wp:extent cx="32791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Kirn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3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PURSUANT TO EXCHANGE ACT RULES 13a-14(a) AND</w:t>
      </w:r>
    </w:p>
    <w:p>
      <w:pPr>
        <w:ind w:left="2980"/>
        <w:spacing w:after="0" w:line="234" w:lineRule="auto"/>
        <w:rPr>
          <w:sz w:val="20"/>
          <w:szCs w:val="20"/>
          <w:color w:val="auto"/>
        </w:rPr>
      </w:pPr>
      <w:r>
        <w:rPr>
          <w:rFonts w:ascii="Arial" w:cs="Arial" w:eastAsia="Arial" w:hAnsi="Arial"/>
          <w:sz w:val="18"/>
          <w:szCs w:val="18"/>
          <w:b w:val="1"/>
          <w:bCs w:val="1"/>
          <w:color w:val="auto"/>
        </w:rPr>
        <w:t>15d-14(a) UNDER THE SECURITIES EXCHANGE ACT OF 1934,</w:t>
      </w:r>
    </w:p>
    <w:p>
      <w:pPr>
        <w:ind w:left="1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August J. Moretti, certify that:</w:t>
      </w:r>
    </w:p>
    <w:p>
      <w:pPr>
        <w:spacing w:after="0" w:line="117" w:lineRule="exact"/>
        <w:rPr>
          <w:sz w:val="20"/>
          <w:szCs w:val="20"/>
          <w:color w:val="auto"/>
        </w:rPr>
      </w:pPr>
    </w:p>
    <w:p>
      <w:pPr>
        <w:ind w:left="76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4D Molecular Therapeutics, Inc.;</w:t>
      </w:r>
    </w:p>
    <w:p>
      <w:pPr>
        <w:spacing w:after="0" w:line="116" w:lineRule="exact"/>
        <w:rPr>
          <w:rFonts w:ascii="Arial" w:cs="Arial" w:eastAsia="Arial" w:hAnsi="Arial"/>
          <w:sz w:val="18"/>
          <w:szCs w:val="18"/>
          <w:color w:val="auto"/>
        </w:rPr>
      </w:pPr>
    </w:p>
    <w:p>
      <w:pPr>
        <w:ind w:left="760" w:right="36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Arial" w:cs="Arial" w:eastAsia="Arial" w:hAnsi="Arial"/>
          <w:sz w:val="18"/>
          <w:szCs w:val="18"/>
          <w:color w:val="auto"/>
        </w:rPr>
      </w:pPr>
    </w:p>
    <w:p>
      <w:pPr>
        <w:ind w:left="760" w:right="4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8"/>
          <w:szCs w:val="18"/>
          <w:color w:val="auto"/>
        </w:rPr>
      </w:pPr>
    </w:p>
    <w:p>
      <w:pPr>
        <w:ind w:left="760" w:right="14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ind w:left="1140" w:right="180" w:hanging="383"/>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Arial" w:cs="Arial" w:eastAsia="Arial" w:hAnsi="Arial"/>
          <w:sz w:val="18"/>
          <w:szCs w:val="18"/>
          <w:color w:val="auto"/>
        </w:rPr>
      </w:pPr>
    </w:p>
    <w:p>
      <w:pPr>
        <w:ind w:left="1140" w:right="180" w:hanging="383"/>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8"/>
          <w:szCs w:val="18"/>
          <w:color w:val="auto"/>
        </w:rPr>
      </w:pPr>
    </w:p>
    <w:p>
      <w:pPr>
        <w:jc w:val="both"/>
        <w:ind w:left="1140" w:right="120" w:hanging="383"/>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8"/>
          <w:szCs w:val="18"/>
          <w:color w:val="auto"/>
        </w:rPr>
      </w:pPr>
    </w:p>
    <w:p>
      <w:pPr>
        <w:ind w:left="1140" w:right="240" w:hanging="383"/>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760" w:right="40" w:hanging="378"/>
        <w:spacing w:after="0"/>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8"/>
          <w:szCs w:val="18"/>
          <w:color w:val="auto"/>
        </w:rPr>
      </w:pPr>
    </w:p>
    <w:p>
      <w:pPr>
        <w:ind w:left="1140" w:right="100" w:hanging="383"/>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8"/>
          <w:szCs w:val="18"/>
          <w:color w:val="auto"/>
        </w:rPr>
      </w:pPr>
    </w:p>
    <w:p>
      <w:pPr>
        <w:ind w:left="1140" w:right="40" w:hanging="383"/>
        <w:spacing w:after="0" w:line="245" w:lineRule="auto"/>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5620" w:val="left"/>
          <w:tab w:leader="none" w:pos="6120" w:val="left"/>
        </w:tabs>
        <w:rPr>
          <w:sz w:val="20"/>
          <w:szCs w:val="20"/>
          <w:color w:val="auto"/>
        </w:rPr>
      </w:pPr>
      <w:r>
        <w:rPr>
          <w:rFonts w:ascii="Arial" w:cs="Arial" w:eastAsia="Arial" w:hAnsi="Arial"/>
          <w:sz w:val="18"/>
          <w:szCs w:val="18"/>
          <w:color w:val="auto"/>
        </w:rPr>
        <w:t>Dated: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6350</wp:posOffset>
            </wp:positionV>
            <wp:extent cx="32791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August J. Moretti</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connection with the Annual Report on Form 10-K (the “Annual Report”) of 4D Molecular Therapeutics, Inc. (the “Company”) for the year ended December 31, 2022, David Kirn, as Chief Executive Officer of the Company, and August J. Moretti, as Chief Financial Officer of the Company, each hereby certify, pursuant to 18 U.S.C. Section 1350, as adopted pursuant to Section 906 of the Sarbanes-Oxley Act of 2002, that, to the best of his knowledge:</w:t>
      </w:r>
    </w:p>
    <w:p>
      <w:pPr>
        <w:spacing w:after="0" w:line="190" w:lineRule="exact"/>
        <w:rPr>
          <w:sz w:val="20"/>
          <w:szCs w:val="20"/>
          <w:color w:val="auto"/>
        </w:rPr>
      </w:pPr>
    </w:p>
    <w:p>
      <w:pPr>
        <w:ind w:left="760" w:right="60" w:hanging="378"/>
        <w:spacing w:after="0" w:line="245"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Annual Report for the year ended December 31, 2022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760" w:right="640" w:hanging="378"/>
        <w:spacing w:after="0" w:line="245"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such Annual Report fairly presents, in all material respects, the financial condition and results of operations of 4D Molecular Therapeutics,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Kirn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6350</wp:posOffset>
            </wp:positionV>
            <wp:extent cx="328803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Kirn</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6350</wp:posOffset>
            </wp:positionV>
            <wp:extent cx="32880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August J. Moretti</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4"/>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3"/>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1)"/>
      <w:numFmt w:val="lowerLetter"/>
      <w:start w:val="1"/>
    </w:lvl>
    <w:lvl w:ilvl="1">
      <w:lvlJc w:val="left"/>
      <w:lvlText w:val="(%2)"/>
      <w:numFmt w:val="decimal"/>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decimal"/>
      <w:start w:val="2"/>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lowerRoman"/>
      <w:start w:val="4"/>
    </w:lvl>
  </w:abstractNum>
  <w:abstractNum w:abstractNumId="68">
    <w:nsid w:val="42C296BD"/>
    <w:multiLevelType w:val="hybridMultilevel"/>
    <w:lvl w:ilvl="0">
      <w:lvlJc w:val="left"/>
      <w:lvlText w:val="(%1)"/>
      <w:numFmt w:val="lowerRoman"/>
      <w:start w:val="2"/>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2"/>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83"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06" Type="http://schemas.openxmlformats.org/officeDocument/2006/relationships/image" Target="media/image174.png"/><Relationship Id="rId207" Type="http://schemas.openxmlformats.org/officeDocument/2006/relationships/image" Target="media/image175.png"/><Relationship Id="rId208" Type="http://schemas.openxmlformats.org/officeDocument/2006/relationships/image" Target="media/image176.png"/><Relationship Id="rId209" Type="http://schemas.openxmlformats.org/officeDocument/2006/relationships/image" Target="media/image177.png"/><Relationship Id="rId210" Type="http://schemas.openxmlformats.org/officeDocument/2006/relationships/image" Target="media/image178.png"/><Relationship Id="rId211" Type="http://schemas.openxmlformats.org/officeDocument/2006/relationships/image" Target="media/image179.png"/><Relationship Id="rId212" Type="http://schemas.openxmlformats.org/officeDocument/2006/relationships/image" Target="media/image180.png"/><Relationship Id="rId213"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pn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png"/><Relationship Id="rId286" Type="http://schemas.openxmlformats.org/officeDocument/2006/relationships/image" Target="media/image254.png"/><Relationship Id="rId287"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pn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pn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pn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pn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pn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pn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pn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pn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pn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pn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160" Type="http://schemas.openxmlformats.org/officeDocument/2006/relationships/hyperlink" Target="https://www.sec.gov/Archives/edgar/data/1650648/000119312520318186/d13863dex31.htm" TargetMode="External"/><Relationship Id="rId161" Type="http://schemas.openxmlformats.org/officeDocument/2006/relationships/hyperlink" Target="https://www.sec.gov/Archives/edgar/data/1650648/000119312520318186/d13863dex32.htm" TargetMode="External"/><Relationship Id="rId162" Type="http://schemas.openxmlformats.org/officeDocument/2006/relationships/hyperlink" Target="https://www.sec.gov/Archives/edgar/data/1650648/000119312520311111/d69563dex42.htm" TargetMode="External"/><Relationship Id="rId163" Type="http://schemas.openxmlformats.org/officeDocument/2006/relationships/hyperlink" Target="https://www.sec.gov/Archives/edgar/data/1650648/000119312520311111/d69563dex43.htm" TargetMode="External"/><Relationship Id="rId164" Type="http://schemas.openxmlformats.org/officeDocument/2006/relationships/hyperlink" Target="https://www.sec.gov/Archives/edgar/data/1650648/000119312520296146/d69563dex101a.htm" TargetMode="External"/><Relationship Id="rId165" Type="http://schemas.openxmlformats.org/officeDocument/2006/relationships/hyperlink" Target="https://www.sec.gov/Archives/edgar/data/1650648/000119312520296146/d69563dex101b.htm" TargetMode="External"/><Relationship Id="rId166" Type="http://schemas.openxmlformats.org/officeDocument/2006/relationships/hyperlink" Target="https://www.sec.gov/Archives/edgar/data/0001650648/000119312520318232/d28592dex992a.htm" TargetMode="External"/><Relationship Id="rId167" Type="http://schemas.openxmlformats.org/officeDocument/2006/relationships/hyperlink" Target="https://www.sec.gov/Archives/edgar/data/1650648/000119312520311111/d69563dex102b.htm" TargetMode="External"/><Relationship Id="rId168" Type="http://schemas.openxmlformats.org/officeDocument/2006/relationships/hyperlink" Target="https://www.sec.gov/Archives/edgar/data/1650648/000119312520311111/d69563dex102c.htm" TargetMode="External"/><Relationship Id="rId169" Type="http://schemas.openxmlformats.org/officeDocument/2006/relationships/hyperlink" Target="https://www.sec.gov/Archives/edgar/data/1650648/000119312520311111/d69563dex102d.htm" TargetMode="External"/><Relationship Id="rId170" Type="http://schemas.openxmlformats.org/officeDocument/2006/relationships/hyperlink" Target="https://www.sec.gov/Archives/edgar/data/0001650648/000119312520318232/d28592dex993.htm" TargetMode="External"/><Relationship Id="rId171" Type="http://schemas.openxmlformats.org/officeDocument/2006/relationships/hyperlink" Target="https://www.sec.gov/Archives/edgar/data/1650648/000119312520311111/d69563dex104.htm" TargetMode="External"/><Relationship Id="rId172" Type="http://schemas.openxmlformats.org/officeDocument/2006/relationships/hyperlink" Target="https://www.sec.gov/Archives/edgar/data/1650648/000119312520296146/d69563dex105.htm" TargetMode="External"/><Relationship Id="rId173" Type="http://schemas.openxmlformats.org/officeDocument/2006/relationships/hyperlink" Target="https://www.sec.gov/Archives/edgar/data/1650648/000119312520296146/d69563dex106.htm" TargetMode="External"/><Relationship Id="rId174" Type="http://schemas.openxmlformats.org/officeDocument/2006/relationships/hyperlink" Target="https://www.sec.gov/Archives/edgar/data/1650648/000119312520296146/d69563dex107.htm" TargetMode="External"/><Relationship Id="rId175" Type="http://schemas.openxmlformats.org/officeDocument/2006/relationships/hyperlink" Target="https://www.sec.gov/Archives/edgar/data/1650648/000119312520311111/d69563dex108.htm" TargetMode="External"/><Relationship Id="rId176" Type="http://schemas.openxmlformats.org/officeDocument/2006/relationships/hyperlink" Target="https://www.sec.gov/Archives/edgar/data/1650648/000119312520311111/d69563dex109.htm" TargetMode="External"/><Relationship Id="rId177" Type="http://schemas.openxmlformats.org/officeDocument/2006/relationships/hyperlink" Target="https://www.sec.gov/Archives/edgar/data/1650648/000119312520311111/d69563dex1010.htm" TargetMode="External"/><Relationship Id="rId178" Type="http://schemas.openxmlformats.org/officeDocument/2006/relationships/hyperlink" Target="https://www.sec.gov/Archives/edgar/data/1650648/000119312520311111/d69563dex1011.htm" TargetMode="External"/><Relationship Id="rId179" Type="http://schemas.openxmlformats.org/officeDocument/2006/relationships/hyperlink" Target="https://www.sec.gov/Archives/edgar/data/1650648/000119312520311111/d69563dex1012.htm" TargetMode="External"/><Relationship Id="rId180" Type="http://schemas.openxmlformats.org/officeDocument/2006/relationships/hyperlink" Target="https://www.sec.gov/Archives/edgar/data/0001650648/000119312521282451/d151012dex101.htm" TargetMode="External"/><Relationship Id="rId181" Type="http://schemas.openxmlformats.org/officeDocument/2006/relationships/hyperlink" Target="https://www.sec.gov/Archives/edgar/data/0001650648/000119312521282451/d151012dex102.htm" TargetMode="External"/><Relationship Id="rId182" Type="http://schemas.openxmlformats.org/officeDocument/2006/relationships/hyperlink" Target="https://www.sec.gov/Archives/edgar/data/0001650648/000119312521282451/d151012dex103.htm" TargetMode="External"/><Relationship Id="rId184" Type="http://schemas.openxmlformats.org/officeDocument/2006/relationships/hyperlink" Target="https://www.sec.gov/Archives/edgar/data/1650648/000095017021004086/fdmt-ex10_4.htm" TargetMode="External"/><Relationship Id="rId185" Type="http://schemas.openxmlformats.org/officeDocument/2006/relationships/hyperlink" Target="https://www.sec.gov/Archives/edgar/data/1650648/000095017022009702/fdm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2023-03-15T16:12:46Z</dcterms:created>
  <dcterms:modified xsi:type="dcterms:W3CDTF">2023-03-15T16:12:46Z</dcterms:modified>
</cp:coreProperties>
</file>