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126365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197485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4D Molecular Therapeutics, Inc.</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232410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tbl>
      <w:tblPr>
        <w:tblLayout w:type="fixed"/>
        <w:tblInd w:w="1040" w:type="dxa"/>
        <w:tblCellMar>
          <w:top w:w="0" w:type="dxa"/>
          <w:left w:w="0" w:type="dxa"/>
          <w:bottom w:w="0" w:type="dxa"/>
          <w:right w:w="0" w:type="dxa"/>
        </w:tblCellMar>
      </w:tblPr>
      <w:tr>
        <w:trPr>
          <w:trHeight w:val="207"/>
        </w:trPr>
        <w:tc>
          <w:tcPr>
            <w:tcW w:w="3140" w:type="dxa"/>
            <w:vAlign w:val="bottom"/>
          </w:tcPr>
          <w:p>
            <w:pPr>
              <w:jc w:val="center"/>
              <w:ind w:right="500"/>
              <w:spacing w:after="0"/>
              <w:rPr>
                <w:sz w:val="20"/>
                <w:szCs w:val="20"/>
                <w:color w:val="auto"/>
              </w:rPr>
            </w:pPr>
            <w:r>
              <w:rPr>
                <w:rFonts w:ascii="Arial" w:cs="Arial" w:eastAsia="Arial" w:hAnsi="Arial"/>
                <w:sz w:val="18"/>
                <w:szCs w:val="18"/>
                <w:b w:val="1"/>
                <w:bCs w:val="1"/>
                <w:color w:val="auto"/>
              </w:rPr>
              <w:t>Delaware</w:t>
            </w:r>
          </w:p>
        </w:tc>
        <w:tc>
          <w:tcPr>
            <w:tcW w:w="3240" w:type="dxa"/>
            <w:vAlign w:val="bottom"/>
          </w:tcPr>
          <w:p>
            <w:pPr>
              <w:jc w:val="right"/>
              <w:ind w:right="1281"/>
              <w:spacing w:after="0"/>
              <w:rPr>
                <w:sz w:val="20"/>
                <w:szCs w:val="20"/>
                <w:color w:val="auto"/>
              </w:rPr>
            </w:pPr>
            <w:r>
              <w:rPr>
                <w:rFonts w:ascii="Arial" w:cs="Arial" w:eastAsia="Arial" w:hAnsi="Arial"/>
                <w:sz w:val="18"/>
                <w:szCs w:val="18"/>
                <w:b w:val="1"/>
                <w:bCs w:val="1"/>
                <w:color w:val="auto"/>
              </w:rPr>
              <w:t>001-39782</w:t>
            </w:r>
          </w:p>
        </w:tc>
        <w:tc>
          <w:tcPr>
            <w:tcW w:w="2080" w:type="dxa"/>
            <w:vAlign w:val="bottom"/>
          </w:tcPr>
          <w:p>
            <w:pPr>
              <w:jc w:val="right"/>
              <w:ind w:right="4"/>
              <w:spacing w:after="0"/>
              <w:rPr>
                <w:sz w:val="20"/>
                <w:szCs w:val="20"/>
                <w:color w:val="auto"/>
              </w:rPr>
            </w:pPr>
            <w:r>
              <w:rPr>
                <w:rFonts w:ascii="Arial" w:cs="Arial" w:eastAsia="Arial" w:hAnsi="Arial"/>
                <w:sz w:val="18"/>
                <w:szCs w:val="18"/>
                <w:b w:val="1"/>
                <w:bCs w:val="1"/>
                <w:color w:val="auto"/>
              </w:rPr>
              <w:t>47-3506994</w:t>
            </w:r>
          </w:p>
        </w:tc>
      </w:tr>
      <w:tr>
        <w:trPr>
          <w:trHeight w:val="148"/>
        </w:trPr>
        <w:tc>
          <w:tcPr>
            <w:tcW w:w="3140" w:type="dxa"/>
            <w:vAlign w:val="bottom"/>
          </w:tcPr>
          <w:p>
            <w:pPr>
              <w:jc w:val="center"/>
              <w:ind w:right="500"/>
              <w:spacing w:after="0"/>
              <w:rPr>
                <w:sz w:val="20"/>
                <w:szCs w:val="20"/>
                <w:color w:val="auto"/>
              </w:rPr>
            </w:pPr>
            <w:r>
              <w:rPr>
                <w:rFonts w:ascii="Arial" w:cs="Arial" w:eastAsia="Arial" w:hAnsi="Arial"/>
                <w:sz w:val="13"/>
                <w:szCs w:val="13"/>
                <w:b w:val="1"/>
                <w:bCs w:val="1"/>
                <w:color w:val="auto"/>
              </w:rPr>
              <w:t>(State or Other Jurisdiction</w:t>
            </w:r>
          </w:p>
        </w:tc>
        <w:tc>
          <w:tcPr>
            <w:tcW w:w="3240" w:type="dxa"/>
            <w:vAlign w:val="bottom"/>
          </w:tcPr>
          <w:p>
            <w:pPr>
              <w:jc w:val="center"/>
              <w:ind w:right="261"/>
              <w:spacing w:after="0"/>
              <w:rPr>
                <w:sz w:val="20"/>
                <w:szCs w:val="20"/>
                <w:color w:val="auto"/>
              </w:rPr>
            </w:pPr>
            <w:r>
              <w:rPr>
                <w:rFonts w:ascii="Arial" w:cs="Arial" w:eastAsia="Arial" w:hAnsi="Arial"/>
                <w:sz w:val="13"/>
                <w:szCs w:val="13"/>
                <w:b w:val="1"/>
                <w:bCs w:val="1"/>
                <w:color w:val="auto"/>
              </w:rPr>
              <w:t>(Commission File Number)</w:t>
            </w:r>
          </w:p>
        </w:tc>
        <w:tc>
          <w:tcPr>
            <w:tcW w:w="2080" w:type="dxa"/>
            <w:vAlign w:val="bottom"/>
          </w:tcPr>
          <w:p>
            <w:pPr>
              <w:jc w:val="center"/>
              <w:ind w:left="884"/>
              <w:spacing w:after="0"/>
              <w:rPr>
                <w:sz w:val="20"/>
                <w:szCs w:val="20"/>
                <w:color w:val="auto"/>
              </w:rPr>
            </w:pPr>
            <w:r>
              <w:rPr>
                <w:rFonts w:ascii="Arial" w:cs="Arial" w:eastAsia="Arial" w:hAnsi="Arial"/>
                <w:sz w:val="13"/>
                <w:szCs w:val="13"/>
                <w:b w:val="1"/>
                <w:bCs w:val="1"/>
                <w:color w:val="auto"/>
              </w:rPr>
              <w:t>(IRS Employer</w:t>
            </w:r>
          </w:p>
        </w:tc>
      </w:tr>
      <w:tr>
        <w:trPr>
          <w:trHeight w:val="186"/>
        </w:trPr>
        <w:tc>
          <w:tcPr>
            <w:tcW w:w="3140" w:type="dxa"/>
            <w:vAlign w:val="bottom"/>
          </w:tcPr>
          <w:p>
            <w:pPr>
              <w:jc w:val="center"/>
              <w:ind w:right="500"/>
              <w:spacing w:after="0"/>
              <w:rPr>
                <w:sz w:val="20"/>
                <w:szCs w:val="20"/>
                <w:color w:val="auto"/>
              </w:rPr>
            </w:pPr>
            <w:r>
              <w:rPr>
                <w:rFonts w:ascii="Arial" w:cs="Arial" w:eastAsia="Arial" w:hAnsi="Arial"/>
                <w:sz w:val="13"/>
                <w:szCs w:val="13"/>
                <w:b w:val="1"/>
                <w:bCs w:val="1"/>
                <w:color w:val="auto"/>
              </w:rPr>
              <w:t>of Incorporation)</w:t>
            </w:r>
          </w:p>
        </w:tc>
        <w:tc>
          <w:tcPr>
            <w:tcW w:w="3240" w:type="dxa"/>
            <w:vAlign w:val="bottom"/>
          </w:tcPr>
          <w:p>
            <w:pPr>
              <w:spacing w:after="0"/>
              <w:rPr>
                <w:sz w:val="16"/>
                <w:szCs w:val="16"/>
                <w:color w:val="auto"/>
              </w:rPr>
            </w:pPr>
          </w:p>
        </w:tc>
        <w:tc>
          <w:tcPr>
            <w:tcW w:w="2080" w:type="dxa"/>
            <w:vAlign w:val="bottom"/>
          </w:tcPr>
          <w:p>
            <w:pPr>
              <w:jc w:val="center"/>
              <w:ind w:left="864"/>
              <w:spacing w:after="0"/>
              <w:rPr>
                <w:sz w:val="20"/>
                <w:szCs w:val="20"/>
                <w:color w:val="auto"/>
              </w:rPr>
            </w:pPr>
            <w:r>
              <w:rPr>
                <w:rFonts w:ascii="Arial" w:cs="Arial" w:eastAsia="Arial" w:hAnsi="Arial"/>
                <w:sz w:val="13"/>
                <w:szCs w:val="13"/>
                <w:b w:val="1"/>
                <w:bCs w:val="1"/>
                <w:color w:val="auto"/>
              </w:rPr>
              <w:t>Identification No.)</w:t>
            </w:r>
          </w:p>
        </w:tc>
      </w:tr>
      <w:tr>
        <w:trPr>
          <w:trHeight w:val="363"/>
        </w:trPr>
        <w:tc>
          <w:tcPr>
            <w:tcW w:w="3140" w:type="dxa"/>
            <w:vAlign w:val="bottom"/>
          </w:tcPr>
          <w:p>
            <w:pPr>
              <w:jc w:val="center"/>
              <w:ind w:right="500"/>
              <w:spacing w:after="0"/>
              <w:rPr>
                <w:sz w:val="20"/>
                <w:szCs w:val="20"/>
                <w:color w:val="auto"/>
              </w:rPr>
            </w:pPr>
            <w:r>
              <w:rPr>
                <w:rFonts w:ascii="Arial" w:cs="Arial" w:eastAsia="Arial" w:hAnsi="Arial"/>
                <w:sz w:val="18"/>
                <w:szCs w:val="18"/>
                <w:b w:val="1"/>
                <w:bCs w:val="1"/>
                <w:color w:val="auto"/>
                <w:w w:val="99"/>
              </w:rPr>
              <w:t>5858 Horton Street</w:t>
            </w:r>
          </w:p>
        </w:tc>
        <w:tc>
          <w:tcPr>
            <w:tcW w:w="32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03"/>
        </w:trPr>
        <w:tc>
          <w:tcPr>
            <w:tcW w:w="3140" w:type="dxa"/>
            <w:vAlign w:val="bottom"/>
          </w:tcPr>
          <w:p>
            <w:pPr>
              <w:jc w:val="center"/>
              <w:ind w:right="500"/>
              <w:spacing w:after="0" w:line="202" w:lineRule="exact"/>
              <w:rPr>
                <w:sz w:val="20"/>
                <w:szCs w:val="20"/>
                <w:color w:val="auto"/>
              </w:rPr>
            </w:pPr>
            <w:r>
              <w:rPr>
                <w:rFonts w:ascii="Arial" w:cs="Arial" w:eastAsia="Arial" w:hAnsi="Arial"/>
                <w:sz w:val="18"/>
                <w:szCs w:val="18"/>
                <w:b w:val="1"/>
                <w:bCs w:val="1"/>
                <w:color w:val="auto"/>
                <w:w w:val="99"/>
              </w:rPr>
              <w:t>#455</w:t>
            </w:r>
          </w:p>
        </w:tc>
        <w:tc>
          <w:tcPr>
            <w:tcW w:w="324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7"/>
        </w:trPr>
        <w:tc>
          <w:tcPr>
            <w:tcW w:w="3140" w:type="dxa"/>
            <w:vAlign w:val="bottom"/>
          </w:tcPr>
          <w:p>
            <w:pPr>
              <w:jc w:val="center"/>
              <w:ind w:right="500"/>
              <w:spacing w:after="0"/>
              <w:rPr>
                <w:sz w:val="20"/>
                <w:szCs w:val="20"/>
                <w:color w:val="auto"/>
              </w:rPr>
            </w:pPr>
            <w:r>
              <w:rPr>
                <w:rFonts w:ascii="Arial" w:cs="Arial" w:eastAsia="Arial" w:hAnsi="Arial"/>
                <w:sz w:val="18"/>
                <w:szCs w:val="18"/>
                <w:b w:val="1"/>
                <w:bCs w:val="1"/>
                <w:color w:val="auto"/>
              </w:rPr>
              <w:t>Emeryville, California</w:t>
            </w:r>
          </w:p>
        </w:tc>
        <w:tc>
          <w:tcPr>
            <w:tcW w:w="3240" w:type="dxa"/>
            <w:vAlign w:val="bottom"/>
          </w:tcPr>
          <w:p>
            <w:pPr>
              <w:spacing w:after="0"/>
              <w:rPr>
                <w:sz w:val="17"/>
                <w:szCs w:val="17"/>
                <w:color w:val="auto"/>
              </w:rPr>
            </w:pPr>
          </w:p>
        </w:tc>
        <w:tc>
          <w:tcPr>
            <w:tcW w:w="2080" w:type="dxa"/>
            <w:vAlign w:val="bottom"/>
          </w:tcPr>
          <w:p>
            <w:pPr>
              <w:jc w:val="right"/>
              <w:ind w:right="244"/>
              <w:spacing w:after="0"/>
              <w:rPr>
                <w:sz w:val="20"/>
                <w:szCs w:val="20"/>
                <w:color w:val="auto"/>
              </w:rPr>
            </w:pPr>
            <w:r>
              <w:rPr>
                <w:rFonts w:ascii="Arial" w:cs="Arial" w:eastAsia="Arial" w:hAnsi="Arial"/>
                <w:sz w:val="18"/>
                <w:szCs w:val="18"/>
                <w:b w:val="1"/>
                <w:bCs w:val="1"/>
                <w:color w:val="auto"/>
              </w:rPr>
              <w:t>94608</w:t>
            </w:r>
          </w:p>
        </w:tc>
      </w:tr>
      <w:tr>
        <w:trPr>
          <w:trHeight w:val="186"/>
        </w:trPr>
        <w:tc>
          <w:tcPr>
            <w:tcW w:w="3140" w:type="dxa"/>
            <w:vAlign w:val="bottom"/>
          </w:tcPr>
          <w:p>
            <w:pPr>
              <w:jc w:val="center"/>
              <w:ind w:right="500"/>
              <w:spacing w:after="0"/>
              <w:rPr>
                <w:sz w:val="20"/>
                <w:szCs w:val="20"/>
                <w:color w:val="auto"/>
              </w:rPr>
            </w:pPr>
            <w:r>
              <w:rPr>
                <w:rFonts w:ascii="Arial" w:cs="Arial" w:eastAsia="Arial" w:hAnsi="Arial"/>
                <w:sz w:val="13"/>
                <w:szCs w:val="13"/>
                <w:b w:val="1"/>
                <w:bCs w:val="1"/>
                <w:color w:val="auto"/>
              </w:rPr>
              <w:t>(Address of Principal Executive Offices)</w:t>
            </w:r>
          </w:p>
        </w:tc>
        <w:tc>
          <w:tcPr>
            <w:tcW w:w="3240" w:type="dxa"/>
            <w:vAlign w:val="bottom"/>
          </w:tcPr>
          <w:p>
            <w:pPr>
              <w:spacing w:after="0"/>
              <w:rPr>
                <w:sz w:val="16"/>
                <w:szCs w:val="16"/>
                <w:color w:val="auto"/>
              </w:rPr>
            </w:pPr>
          </w:p>
        </w:tc>
        <w:tc>
          <w:tcPr>
            <w:tcW w:w="2080" w:type="dxa"/>
            <w:vAlign w:val="bottom"/>
          </w:tcPr>
          <w:p>
            <w:pPr>
              <w:jc w:val="center"/>
              <w:ind w:left="884"/>
              <w:spacing w:after="0"/>
              <w:rPr>
                <w:sz w:val="20"/>
                <w:szCs w:val="20"/>
                <w:color w:val="auto"/>
              </w:rPr>
            </w:pPr>
            <w:r>
              <w:rPr>
                <w:rFonts w:ascii="Arial" w:cs="Arial" w:eastAsia="Arial" w:hAnsi="Arial"/>
                <w:sz w:val="13"/>
                <w:szCs w:val="13"/>
                <w:b w:val="1"/>
                <w:bCs w:val="1"/>
                <w:color w:val="auto"/>
              </w:rPr>
              <w:t>(Zip Code)</w:t>
            </w:r>
          </w:p>
        </w:tc>
      </w:tr>
    </w:tbl>
    <w:p>
      <w:pPr>
        <w:spacing w:after="0" w:line="39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(510) 505-2680</w:t>
      </w:r>
    </w:p>
    <w:p>
      <w:pPr>
        <w:spacing w:after="0" w:line="3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240030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right="14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2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Symbol(s)</w:t>
            </w:r>
          </w:p>
        </w:tc>
        <w:tc>
          <w:tcPr>
            <w:tcW w:w="120" w:type="dxa"/>
            <w:vAlign w:val="bottom"/>
          </w:tcPr>
          <w:p>
            <w:pPr>
              <w:spacing w:after="0"/>
              <w:rPr>
                <w:sz w:val="19"/>
                <w:szCs w:val="19"/>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280" w:type="dxa"/>
            <w:vAlign w:val="bottom"/>
          </w:tcPr>
          <w:p>
            <w:pPr>
              <w:jc w:val="center"/>
              <w:spacing w:after="0"/>
              <w:rPr>
                <w:sz w:val="20"/>
                <w:szCs w:val="20"/>
                <w:color w:val="auto"/>
              </w:rPr>
            </w:pPr>
            <w:r>
              <w:rPr>
                <w:rFonts w:ascii="Arial" w:cs="Arial" w:eastAsia="Arial" w:hAnsi="Arial"/>
                <w:sz w:val="18"/>
                <w:szCs w:val="18"/>
                <w:color w:val="auto"/>
                <w:w w:val="99"/>
              </w:rPr>
              <w:t>Common Stock, $0.0001 par value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FDMT</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161" w:lineRule="exact"/>
        <w:rPr>
          <w:sz w:val="24"/>
          <w:szCs w:val="24"/>
          <w:color w:val="auto"/>
        </w:rPr>
      </w:pPr>
    </w:p>
    <w:p>
      <w:pPr>
        <w:ind w:right="8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1" w:lineRule="exact"/>
        <w:rPr>
          <w:sz w:val="24"/>
          <w:szCs w:val="24"/>
          <w:color w:val="auto"/>
        </w:rPr>
      </w:pPr>
    </w:p>
    <w:p>
      <w:pPr>
        <w:ind w:right="20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1136015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17, 2026, 4D Molecular Therapeutics, Inc. (the “Company”) held its 2026 Annual Meeting of Stockholders (the “Annual Meeting”) virtually via the internet. On April 20, 2026, the record date for the meeting, there were 52,274,735 shares of the Company’s common stock outstanding with each such share being entitled to one vote per share.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Annual Meeting, 44,038,022 shares of the Company’s common stock were voted in person or by proxy for the three proposals set forth below, each of which is described in the Company’s Definitive Proxy Statement on Schedule 14A filed with the U.S. Securities and Exchange Commission on April 28, 2026 (the “Proxy Statement”).</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The Company’s stockholders elected by a plurality of votes cast the Class III director nominees below to the Company’s Board of Directors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 office until the 2029 Annual Meeting of Stockholders or until their successors are elected.</w:t>
      </w:r>
    </w:p>
    <w:tbl>
      <w:tblPr>
        <w:tblLayout w:type="fixed"/>
        <w:tblInd w:w="0" w:type="dxa"/>
        <w:tblCellMar>
          <w:top w:w="0" w:type="dxa"/>
          <w:left w:w="0" w:type="dxa"/>
          <w:bottom w:w="0" w:type="dxa"/>
          <w:right w:w="0" w:type="dxa"/>
        </w:tblCellMar>
      </w:tblPr>
      <w:tr>
        <w:trPr>
          <w:trHeight w:val="194"/>
        </w:trPr>
        <w:tc>
          <w:tcPr>
            <w:tcW w:w="88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140"/>
              <w:spacing w:after="0" w:line="195" w:lineRule="exact"/>
              <w:rPr>
                <w:sz w:val="20"/>
                <w:szCs w:val="20"/>
                <w:color w:val="auto"/>
              </w:rPr>
            </w:pPr>
            <w:r>
              <w:rPr>
                <w:rFonts w:ascii="Times New Roman" w:cs="Times New Roman" w:eastAsia="Times New Roman" w:hAnsi="Times New Roman"/>
                <w:sz w:val="18"/>
                <w:szCs w:val="18"/>
                <w:b w:val="1"/>
                <w:bCs w:val="1"/>
                <w:color w:val="auto"/>
                <w:w w:val="99"/>
              </w:rPr>
              <w:t>BROKER</w:t>
            </w:r>
          </w:p>
        </w:tc>
      </w:tr>
      <w:tr>
        <w:trPr>
          <w:trHeight w:val="216"/>
        </w:trPr>
        <w:tc>
          <w:tcPr>
            <w:tcW w:w="8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WITHHEL</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NON-</w:t>
            </w:r>
          </w:p>
        </w:tc>
      </w:tr>
      <w:tr>
        <w:trPr>
          <w:trHeight w:val="211"/>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FOR</w:t>
            </w:r>
          </w:p>
        </w:tc>
        <w:tc>
          <w:tcPr>
            <w:tcW w:w="260" w:type="dxa"/>
            <w:vAlign w:val="bottom"/>
          </w:tcPr>
          <w:p>
            <w:pPr>
              <w:spacing w:after="0"/>
              <w:rPr>
                <w:sz w:val="18"/>
                <w:szCs w:val="18"/>
                <w:color w:val="auto"/>
              </w:rPr>
            </w:pPr>
          </w:p>
        </w:tc>
        <w:tc>
          <w:tcPr>
            <w:tcW w:w="10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VOTES</w:t>
            </w:r>
          </w:p>
        </w:tc>
      </w:tr>
      <w:tr>
        <w:trPr>
          <w:trHeight w:val="40"/>
        </w:trPr>
        <w:tc>
          <w:tcPr>
            <w:tcW w:w="880" w:type="dxa"/>
            <w:vAlign w:val="bottom"/>
            <w:tcBorders>
              <w:top w:val="single" w:sz="8" w:color="auto"/>
            </w:tcBorders>
          </w:tcPr>
          <w:p>
            <w:pPr>
              <w:spacing w:after="0"/>
              <w:rPr>
                <w:sz w:val="3"/>
                <w:szCs w:val="3"/>
                <w:color w:val="auto"/>
              </w:rPr>
            </w:pPr>
          </w:p>
        </w:tc>
        <w:tc>
          <w:tcPr>
            <w:tcW w:w="67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90"/>
        </w:trPr>
        <w:tc>
          <w:tcPr>
            <w:tcW w:w="7580" w:type="dxa"/>
            <w:vAlign w:val="bottom"/>
            <w:tcBorders>
              <w:top w:val="single" w:sz="8" w:color="CFF0FC"/>
            </w:tcBorders>
            <w:gridSpan w:val="2"/>
            <w:shd w:val="clear" w:color="auto" w:fill="CFF0FC"/>
          </w:tcPr>
          <w:p>
            <w:pPr>
              <w:spacing w:after="0" w:line="190" w:lineRule="exact"/>
              <w:rPr>
                <w:sz w:val="20"/>
                <w:szCs w:val="20"/>
                <w:color w:val="auto"/>
              </w:rPr>
            </w:pPr>
            <w:r>
              <w:rPr>
                <w:rFonts w:ascii="Times New Roman" w:cs="Times New Roman" w:eastAsia="Times New Roman" w:hAnsi="Times New Roman"/>
                <w:sz w:val="18"/>
                <w:szCs w:val="18"/>
                <w:color w:val="auto"/>
              </w:rPr>
              <w:t>Nancy Miller-Rich</w:t>
            </w:r>
          </w:p>
        </w:tc>
        <w:tc>
          <w:tcPr>
            <w:tcW w:w="1180" w:type="dxa"/>
            <w:vAlign w:val="bottom"/>
            <w:tcBorders>
              <w:top w:val="single" w:sz="8" w:color="CFF0FC"/>
            </w:tcBorders>
            <w:shd w:val="clear" w:color="auto" w:fill="CFF0FC"/>
          </w:tcPr>
          <w:p>
            <w:pPr>
              <w:jc w:val="right"/>
              <w:spacing w:after="0" w:line="190" w:lineRule="exact"/>
              <w:rPr>
                <w:sz w:val="20"/>
                <w:szCs w:val="20"/>
                <w:color w:val="auto"/>
              </w:rPr>
            </w:pPr>
            <w:r>
              <w:rPr>
                <w:rFonts w:ascii="Times New Roman" w:cs="Times New Roman" w:eastAsia="Times New Roman" w:hAnsi="Times New Roman"/>
                <w:sz w:val="18"/>
                <w:szCs w:val="18"/>
                <w:color w:val="auto"/>
              </w:rPr>
              <w:t>35,880,028</w:t>
            </w:r>
          </w:p>
        </w:tc>
        <w:tc>
          <w:tcPr>
            <w:tcW w:w="260" w:type="dxa"/>
            <w:vAlign w:val="bottom"/>
            <w:tcBorders>
              <w:top w:val="single" w:sz="8" w:color="CFF0FC"/>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jc w:val="right"/>
              <w:spacing w:after="0" w:line="190" w:lineRule="exact"/>
              <w:rPr>
                <w:sz w:val="20"/>
                <w:szCs w:val="20"/>
                <w:color w:val="auto"/>
              </w:rPr>
            </w:pPr>
            <w:r>
              <w:rPr>
                <w:rFonts w:ascii="Times New Roman" w:cs="Times New Roman" w:eastAsia="Times New Roman" w:hAnsi="Times New Roman"/>
                <w:sz w:val="18"/>
                <w:szCs w:val="18"/>
                <w:color w:val="auto"/>
              </w:rPr>
              <w:t>1,193,202</w:t>
            </w:r>
          </w:p>
        </w:tc>
        <w:tc>
          <w:tcPr>
            <w:tcW w:w="220" w:type="dxa"/>
            <w:vAlign w:val="bottom"/>
            <w:tcBorders>
              <w:top w:val="single" w:sz="8" w:color="CFF0FC"/>
            </w:tcBorders>
            <w:shd w:val="clear" w:color="auto" w:fill="CFF0FC"/>
          </w:tcPr>
          <w:p>
            <w:pPr>
              <w:spacing w:after="0"/>
              <w:rPr>
                <w:sz w:val="16"/>
                <w:szCs w:val="16"/>
                <w:color w:val="auto"/>
              </w:rPr>
            </w:pPr>
          </w:p>
        </w:tc>
        <w:tc>
          <w:tcPr>
            <w:tcW w:w="1160" w:type="dxa"/>
            <w:vAlign w:val="bottom"/>
            <w:tcBorders>
              <w:top w:val="single" w:sz="8" w:color="CFF0FC"/>
            </w:tcBorders>
            <w:gridSpan w:val="2"/>
            <w:shd w:val="clear" w:color="auto" w:fill="CFF0FC"/>
          </w:tcPr>
          <w:p>
            <w:pPr>
              <w:jc w:val="right"/>
              <w:ind w:right="100"/>
              <w:spacing w:after="0" w:line="190" w:lineRule="exact"/>
              <w:rPr>
                <w:sz w:val="20"/>
                <w:szCs w:val="20"/>
                <w:color w:val="auto"/>
              </w:rPr>
            </w:pPr>
            <w:r>
              <w:rPr>
                <w:rFonts w:ascii="Times New Roman" w:cs="Times New Roman" w:eastAsia="Times New Roman" w:hAnsi="Times New Roman"/>
                <w:sz w:val="18"/>
                <w:szCs w:val="18"/>
                <w:color w:val="auto"/>
              </w:rPr>
              <w:t>6,964,792</w:t>
            </w:r>
          </w:p>
        </w:tc>
      </w:tr>
      <w:tr>
        <w:trPr>
          <w:trHeight w:val="216"/>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F. Milligan, Ph.D.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35,778,121</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1,295,109</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6,964,792</w:t>
            </w:r>
          </w:p>
        </w:tc>
      </w:tr>
      <w:tr>
        <w:trPr>
          <w:trHeight w:val="216"/>
        </w:trPr>
        <w:tc>
          <w:tcPr>
            <w:tcW w:w="7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Shawn Cline Tomasello, MBA</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30,508,706</w:t>
            </w:r>
          </w:p>
        </w:tc>
        <w:tc>
          <w:tcPr>
            <w:tcW w:w="13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6,564,524</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6,964,792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-419735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The Company’s stockholders ratified the selection of PricewaterhouseCoopers LLP as the independent registered public accounting firm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for its fiscal year ending December 31, 2026.</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40" w:type="dxa"/>
            <w:vAlign w:val="bottom"/>
          </w:tcPr>
          <w:p>
            <w:pPr>
              <w:spacing w:after="0"/>
              <w:rPr>
                <w:sz w:val="22"/>
                <w:szCs w:val="22"/>
                <w:color w:val="auto"/>
              </w:rPr>
            </w:pPr>
          </w:p>
        </w:tc>
        <w:tc>
          <w:tcPr>
            <w:tcW w:w="4240" w:type="dxa"/>
            <w:vAlign w:val="bottom"/>
            <w:gridSpan w:val="3"/>
          </w:tcPr>
          <w:p>
            <w:pPr>
              <w:ind w:left="15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44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03"/>
        </w:trPr>
        <w:tc>
          <w:tcPr>
            <w:tcW w:w="3320" w:type="dxa"/>
            <w:vAlign w:val="bottom"/>
            <w:tcBorders>
              <w:top w:val="single" w:sz="8" w:color="auto"/>
            </w:tcBorders>
            <w:shd w:val="clear" w:color="auto" w:fill="CFF0FC"/>
          </w:tcPr>
          <w:p>
            <w:pPr>
              <w:jc w:val="right"/>
              <w:ind w:right="1170"/>
              <w:spacing w:after="0" w:line="203" w:lineRule="exact"/>
              <w:rPr>
                <w:sz w:val="20"/>
                <w:szCs w:val="20"/>
                <w:color w:val="auto"/>
              </w:rPr>
            </w:pPr>
            <w:r>
              <w:rPr>
                <w:rFonts w:ascii="Times New Roman" w:cs="Times New Roman" w:eastAsia="Times New Roman" w:hAnsi="Times New Roman"/>
                <w:sz w:val="18"/>
                <w:szCs w:val="18"/>
                <w:color w:val="auto"/>
              </w:rPr>
              <w:t>43,900,362</w:t>
            </w:r>
          </w:p>
        </w:tc>
        <w:tc>
          <w:tcPr>
            <w:tcW w:w="240" w:type="dxa"/>
            <w:vAlign w:val="bottom"/>
            <w:tcBorders>
              <w:top w:val="single" w:sz="8" w:color="CFF0FC"/>
            </w:tcBorders>
            <w:shd w:val="clear" w:color="auto" w:fill="CFF0FC"/>
          </w:tcPr>
          <w:p>
            <w:pPr>
              <w:spacing w:after="0"/>
              <w:rPr>
                <w:sz w:val="17"/>
                <w:szCs w:val="17"/>
                <w:color w:val="auto"/>
              </w:rPr>
            </w:pPr>
          </w:p>
        </w:tc>
        <w:tc>
          <w:tcPr>
            <w:tcW w:w="4020" w:type="dxa"/>
            <w:vAlign w:val="bottom"/>
            <w:tcBorders>
              <w:top w:val="single" w:sz="8" w:color="auto"/>
            </w:tcBorders>
            <w:shd w:val="clear" w:color="auto" w:fill="CFF0FC"/>
          </w:tcPr>
          <w:p>
            <w:pPr>
              <w:jc w:val="right"/>
              <w:ind w:right="1670"/>
              <w:spacing w:after="0" w:line="203" w:lineRule="exact"/>
              <w:rPr>
                <w:sz w:val="20"/>
                <w:szCs w:val="20"/>
                <w:color w:val="auto"/>
              </w:rPr>
            </w:pPr>
            <w:r>
              <w:rPr>
                <w:rFonts w:ascii="Times New Roman" w:cs="Times New Roman" w:eastAsia="Times New Roman" w:hAnsi="Times New Roman"/>
                <w:sz w:val="18"/>
                <w:szCs w:val="18"/>
                <w:color w:val="auto"/>
              </w:rPr>
              <w:t>55,763</w:t>
            </w: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3340" w:type="dxa"/>
            <w:vAlign w:val="bottom"/>
            <w:tcBorders>
              <w:top w:val="single" w:sz="8" w:color="auto"/>
            </w:tcBorders>
            <w:shd w:val="clear" w:color="auto" w:fill="CFF0FC"/>
          </w:tcPr>
          <w:p>
            <w:pPr>
              <w:jc w:val="right"/>
              <w:ind w:right="1290"/>
              <w:spacing w:after="0" w:line="203" w:lineRule="exact"/>
              <w:rPr>
                <w:sz w:val="20"/>
                <w:szCs w:val="20"/>
                <w:color w:val="auto"/>
              </w:rPr>
            </w:pPr>
            <w:r>
              <w:rPr>
                <w:rFonts w:ascii="Times New Roman" w:cs="Times New Roman" w:eastAsia="Times New Roman" w:hAnsi="Times New Roman"/>
                <w:sz w:val="18"/>
                <w:szCs w:val="18"/>
                <w:color w:val="auto"/>
              </w:rPr>
              <w:t>81,897</w:t>
            </w:r>
          </w:p>
        </w:tc>
        <w:tc>
          <w:tcPr>
            <w:tcW w:w="100" w:type="dxa"/>
            <w:vAlign w:val="bottom"/>
            <w:tcBorders>
              <w:top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-144780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The Company’s stockholders approved, on an advisory, non-binding basis, the named executive officers’ compensation as disclosed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Statement.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4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1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2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20" w:type="dxa"/>
            <w:vAlign w:val="bottom"/>
          </w:tcPr>
          <w:p>
            <w:pPr>
              <w:spacing w:after="0"/>
              <w:rPr>
                <w:sz w:val="20"/>
                <w:szCs w:val="20"/>
                <w:color w:val="auto"/>
              </w:rPr>
            </w:pPr>
          </w:p>
        </w:tc>
      </w:tr>
      <w:tr>
        <w:trPr>
          <w:trHeight w:val="210"/>
        </w:trPr>
        <w:tc>
          <w:tcPr>
            <w:tcW w:w="3380" w:type="dxa"/>
            <w:vAlign w:val="bottom"/>
            <w:shd w:val="clear" w:color="auto" w:fill="CFF0FC"/>
          </w:tcPr>
          <w:p>
            <w:pPr>
              <w:jc w:val="right"/>
              <w:ind w:right="1190"/>
              <w:spacing w:after="0"/>
              <w:rPr>
                <w:sz w:val="20"/>
                <w:szCs w:val="20"/>
                <w:color w:val="auto"/>
              </w:rPr>
            </w:pPr>
            <w:r>
              <w:rPr>
                <w:rFonts w:ascii="Times New Roman" w:cs="Times New Roman" w:eastAsia="Times New Roman" w:hAnsi="Times New Roman"/>
                <w:sz w:val="18"/>
                <w:szCs w:val="18"/>
                <w:color w:val="auto"/>
              </w:rPr>
              <w:t>36,065,437</w:t>
            </w:r>
          </w:p>
        </w:tc>
        <w:tc>
          <w:tcPr>
            <w:tcW w:w="2820" w:type="dxa"/>
            <w:vAlign w:val="bottom"/>
            <w:gridSpan w:val="2"/>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940,414</w:t>
            </w:r>
          </w:p>
        </w:tc>
        <w:tc>
          <w:tcPr>
            <w:tcW w:w="2700" w:type="dxa"/>
            <w:vAlign w:val="bottom"/>
            <w:gridSpan w:val="2"/>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67,379</w:t>
            </w:r>
          </w:p>
        </w:tc>
        <w:tc>
          <w:tcPr>
            <w:tcW w:w="2320" w:type="dxa"/>
            <w:vAlign w:val="bottom"/>
            <w:gridSpan w:val="2"/>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6,964,792</w:t>
            </w:r>
          </w:p>
        </w:tc>
        <w:tc>
          <w:tcPr>
            <w:tcW w:w="20" w:type="dxa"/>
            <w:vAlign w:val="bottom"/>
            <w:shd w:val="clear" w:color="auto" w:fill="CFF0FC"/>
          </w:tcPr>
          <w:p>
            <w:pPr>
              <w:spacing w:after="0"/>
              <w:rPr>
                <w:sz w:val="18"/>
                <w:szCs w:val="18"/>
                <w:color w:val="auto"/>
              </w:rPr>
            </w:pPr>
          </w:p>
        </w:tc>
      </w:tr>
      <w:tr>
        <w:trPr>
          <w:trHeight w:val="1208"/>
        </w:trPr>
        <w:tc>
          <w:tcPr>
            <w:tcW w:w="3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7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9"/>
              </w:rPr>
              <w:t>4D MOLECULAR THERAPEUTICS, INC.</w:t>
            </w:r>
          </w:p>
        </w:tc>
      </w:tr>
      <w:tr>
        <w:trPr>
          <w:trHeight w:val="731"/>
        </w:trPr>
        <w:tc>
          <w:tcPr>
            <w:tcW w:w="3740" w:type="dxa"/>
            <w:vAlign w:val="bottom"/>
          </w:tcPr>
          <w:p>
            <w:pPr>
              <w:spacing w:after="0"/>
              <w:rPr>
                <w:sz w:val="20"/>
                <w:szCs w:val="20"/>
                <w:color w:val="auto"/>
              </w:rPr>
            </w:pPr>
            <w:r>
              <w:rPr>
                <w:rFonts w:ascii="Arial" w:cs="Arial" w:eastAsia="Arial" w:hAnsi="Arial"/>
                <w:sz w:val="18"/>
                <w:szCs w:val="18"/>
                <w:color w:val="auto"/>
              </w:rPr>
              <w:t>Date:   June 22, 2026</w:t>
            </w:r>
          </w:p>
        </w:tc>
        <w:tc>
          <w:tcPr>
            <w:tcW w:w="2340" w:type="dxa"/>
            <w:vAlign w:val="bottom"/>
          </w:tcPr>
          <w:p>
            <w:pPr>
              <w:ind w:left="190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/s/Kristian Humer</w:t>
            </w:r>
          </w:p>
        </w:tc>
      </w:tr>
      <w:tr>
        <w:trPr>
          <w:trHeight w:val="191"/>
        </w:trPr>
        <w:tc>
          <w:tcPr>
            <w:tcW w:w="37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1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Kristian Humer</w:t>
            </w:r>
          </w:p>
        </w:tc>
      </w:tr>
      <w:tr>
        <w:trPr>
          <w:trHeight w:val="247"/>
        </w:trPr>
        <w:tc>
          <w:tcPr>
            <w:tcW w:w="37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rPr>
              <w:t>Chief Financial Officer</w:t>
            </w:r>
          </w:p>
        </w:tc>
      </w:tr>
      <w:tr>
        <w:trPr>
          <w:trHeight w:val="1116"/>
        </w:trPr>
        <w:tc>
          <w:tcPr>
            <w:tcW w:w="37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2026-06-22T15:57:30Z</dcterms:created>
  <dcterms:modified xsi:type="dcterms:W3CDTF">2026-06-22T15:57:30Z</dcterms:modified>
</cp:coreProperties>
</file>