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dmt-20260331.htm"/>
      <w:bookmarkStart w:id="1" w:name="ksfdmt20260331"/>
      <w:bookmarkEnd w:id="0"/>
      <w:bookmarkEnd w:id="1"/>
      <w:r>
        <w:rPr/>
        <w:t> </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sz w:val="20"/>
        </w:rPr>
      </w:pPr>
      <w:r>
        <w:rPr>
          <w:rFonts w:ascii="Arial" w:hAnsi="Arial"/>
          <w:b/>
          <w:color w:val="000000"/>
          <w:sz w:val="28"/>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8"/>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16"/>
        </w:rPr>
        <w:t>Washington, D.C. 20549</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Arial" w:hAnsi="Arial"/>
          <w:b/>
          <w:color w:val="000000"/>
          <w:sz w:val="28"/>
        </w:rPr>
        <w:t>FORM 10-Q</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Arial" w:hAnsi="Arial"/>
          <w:b/>
          <w:color w:val="000000"/>
          <w:sz w:val="16"/>
        </w:rPr>
        <w:t>(Mark One)</w:t>
      </w:r>
      <w:r>
        <w:rPr>
          <w:rFonts w:ascii="Times New Roman" w:hAnsi="Times New Roman"/>
          <w:color w:val="000000"/>
          <w:sz w:val="20"/>
        </w:rPr>
        <w:t xml:space="preserve"> </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42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sz w:val="18"/>
              </w:rPr>
            </w:pPr>
            <w:r>
              <w:rPr>
                <w:rFonts w:ascii="Arial" w:hAnsi="Arial"/>
                <w:b/>
                <w:color w:val="000000"/>
                <w:sz w:val="18"/>
              </w:rPr>
              <w:t>QUARTERLY REPORT PURSUANT TO SECTION 13 OR 15(d) OF THE SECURITIES EXCHANGE ACT OF 1934</w:t>
            </w:r>
            <w:r>
              <w:rPr>
                <w:rFonts w:ascii="Times New Roman" w:hAnsi="Times New Roman"/>
                <w:color w:val="000000"/>
                <w:sz w:val="18"/>
              </w:rPr>
              <w:t xml:space="preserve"> </w:t>
            </w:r>
          </w:p>
        </w:tc>
      </w:tr>
    </w:tbl>
    <w:p>
      <w:pPr>
        <w:pStyle w:val="TextBody"/>
        <w:bidi w:val="0"/>
        <w:spacing w:before="60" w:after="283"/>
        <w:jc w:val="center"/>
        <w:rPr>
          <w:rFonts w:ascii="Arial" w:hAnsi="Arial"/>
          <w:b/>
          <w:color w:val="000000"/>
          <w:sz w:val="18"/>
        </w:rPr>
      </w:pPr>
      <w:r>
        <w:rPr>
          <w:rFonts w:ascii="Arial" w:hAnsi="Arial"/>
          <w:b/>
          <w:color w:val="000000"/>
          <w:sz w:val="18"/>
        </w:rPr>
        <w:t>For the quarterly period ended March 31, 2026</w:t>
      </w:r>
    </w:p>
    <w:p>
      <w:pPr>
        <w:pStyle w:val="TextBody"/>
        <w:bidi w:val="0"/>
        <w:spacing w:before="60" w:after="283"/>
        <w:jc w:val="center"/>
        <w:rPr>
          <w:rFonts w:ascii="Times New Roman" w:hAnsi="Times New Roman"/>
          <w:sz w:val="20"/>
        </w:rPr>
      </w:pPr>
      <w:r>
        <w:rPr>
          <w:rFonts w:ascii="Arial" w:hAnsi="Arial"/>
          <w:b/>
          <w:color w:val="000000"/>
          <w:sz w:val="18"/>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sz w:val="18"/>
              </w:rPr>
            </w:pPr>
            <w:r>
              <w:rPr>
                <w:rFonts w:ascii="Arial" w:hAnsi="Arial"/>
                <w:b/>
                <w:color w:val="000000"/>
                <w:sz w:val="18"/>
              </w:rPr>
              <w:t>TRANSITION REPORT PURSUANT TO SECTION 13 OR 15(d) OF THE SECURITIES EXCHANGE ACT OF 1934 FOR THE TRANSITION PERIOD FROM TO</w:t>
            </w:r>
            <w:r>
              <w:rPr>
                <w:rFonts w:ascii="Times New Roman" w:hAnsi="Times New Roman"/>
                <w:color w:val="000000"/>
                <w:sz w:val="18"/>
              </w:rPr>
              <w:t xml:space="preserve"> </w:t>
            </w:r>
          </w:p>
        </w:tc>
      </w:tr>
    </w:tbl>
    <w:p>
      <w:pPr>
        <w:pStyle w:val="TextBody"/>
        <w:bidi w:val="0"/>
        <w:spacing w:before="60" w:after="283"/>
        <w:jc w:val="center"/>
        <w:rPr>
          <w:rFonts w:ascii="Times New Roman" w:hAnsi="Times New Roman"/>
          <w:sz w:val="20"/>
        </w:rPr>
      </w:pPr>
      <w:r>
        <w:rPr>
          <w:rFonts w:ascii="Arial" w:hAnsi="Arial"/>
          <w:b/>
          <w:color w:val="000000"/>
          <w:sz w:val="18"/>
        </w:rPr>
        <w:t>Commission File Number 001-39782</w:t>
      </w:r>
      <w:r>
        <w:rPr>
          <w:rFonts w:ascii="Times New Roman" w:hAnsi="Times New Roman"/>
          <w:color w:val="000000"/>
          <w:sz w:val="20"/>
        </w:rPr>
        <w:t xml:space="preserve"> </w:t>
      </w:r>
    </w:p>
    <w:p>
      <w:pPr>
        <w:pStyle w:val="TextBody"/>
        <w:bidi w:val="0"/>
        <w:spacing w:before="60" w:after="283"/>
        <w:jc w:val="center"/>
        <w:rPr>
          <w:rFonts w:ascii="Arial" w:hAnsi="Arial"/>
          <w:b/>
          <w:color w:val="000000"/>
          <w:sz w:val="36"/>
        </w:rPr>
      </w:pPr>
      <w:r>
        <w:rPr>
          <w:rFonts w:ascii="Arial" w:hAnsi="Arial"/>
          <w:b/>
          <w:color w:val="000000"/>
          <w:sz w:val="36"/>
        </w:rPr>
        <w:t>4D Molecular Therapeutics, Inc.</w:t>
      </w:r>
    </w:p>
    <w:p>
      <w:pPr>
        <w:pStyle w:val="TextBody"/>
        <w:bidi w:val="0"/>
        <w:jc w:val="center"/>
        <w:rPr>
          <w:rFonts w:ascii="Times New Roman" w:hAnsi="Times New Roman"/>
          <w:sz w:val="20"/>
        </w:rPr>
      </w:pPr>
      <w:r>
        <w:rPr>
          <w:rFonts w:ascii="Arial" w:hAnsi="Arial"/>
          <w:b/>
          <w:color w:val="000000"/>
          <w:sz w:val="16"/>
        </w:rPr>
        <w:t>(Exact name of registrant as specified in its Charter)</w:t>
      </w:r>
      <w:r>
        <w:rPr>
          <w:rFonts w:ascii="Times New Roman" w:hAnsi="Times New Roman"/>
          <w:color w:val="000000"/>
          <w:sz w:val="20"/>
        </w:rPr>
        <w:t xml:space="preserve"> </w:t>
      </w:r>
    </w:p>
    <w:tbl>
      <w:tblPr>
        <w:tblW w:w="3947" w:type="dxa"/>
        <w:jc w:val="left"/>
        <w:tblInd w:w="0" w:type="dxa"/>
        <w:tblLayout w:type="fixed"/>
        <w:tblCellMar>
          <w:top w:w="28" w:type="dxa"/>
          <w:left w:w="28" w:type="dxa"/>
          <w:bottom w:w="28" w:type="dxa"/>
          <w:right w:w="28" w:type="dxa"/>
        </w:tblCellMar>
      </w:tblPr>
      <w:tblGrid>
        <w:gridCol w:w="2656"/>
        <w:gridCol w:w="1291"/>
      </w:tblGrid>
      <w:tr>
        <w:trPr/>
        <w:tc>
          <w:tcPr>
            <w:tcW w:w="265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265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Delaware</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47-3506994</w:t>
            </w:r>
          </w:p>
        </w:tc>
      </w:tr>
      <w:tr>
        <w:trPr/>
        <w:tc>
          <w:tcPr>
            <w:tcW w:w="2656" w:type="dxa"/>
            <w:tcBorders/>
            <w:tcMar>
              <w:top w:w="0" w:type="dxa"/>
              <w:left w:w="0" w:type="dxa"/>
              <w:bottom w:w="0" w:type="dxa"/>
              <w:right w:w="0" w:type="dxa"/>
            </w:tcMar>
            <w:vAlign w:val="center"/>
          </w:tcPr>
          <w:p>
            <w:pPr>
              <w:pStyle w:val="TableContents"/>
              <w:bidi w:val="0"/>
              <w:jc w:val="center"/>
              <w:rPr>
                <w:rFonts w:ascii="Arial" w:hAnsi="Arial"/>
                <w:b/>
                <w:color w:val="000000"/>
                <w:sz w:val="14"/>
              </w:rPr>
            </w:pPr>
            <w:r>
              <w:rPr>
                <w:rFonts w:ascii="Arial" w:hAnsi="Arial"/>
                <w:b/>
                <w:color w:val="000000"/>
                <w:sz w:val="14"/>
              </w:rPr>
              <w:t>(State or other jurisdiction of</w:t>
            </w:r>
          </w:p>
          <w:p>
            <w:pPr>
              <w:pStyle w:val="TableContents"/>
              <w:bidi w:val="0"/>
              <w:spacing w:before="0" w:after="15"/>
              <w:jc w:val="center"/>
              <w:rPr>
                <w:rFonts w:ascii="Arial" w:hAnsi="Arial"/>
                <w:b/>
                <w:color w:val="000000"/>
                <w:sz w:val="14"/>
              </w:rPr>
            </w:pPr>
            <w:r>
              <w:rPr>
                <w:rFonts w:ascii="Arial" w:hAnsi="Arial"/>
                <w:b/>
                <w:color w:val="000000"/>
                <w:sz w:val="14"/>
              </w:rPr>
              <w:t>incorporation or organization)</w:t>
            </w:r>
          </w:p>
        </w:tc>
        <w:tc>
          <w:tcPr>
            <w:tcW w:w="1291" w:type="dxa"/>
            <w:tcBorders/>
            <w:tcMar>
              <w:top w:w="0" w:type="dxa"/>
              <w:left w:w="0" w:type="dxa"/>
              <w:bottom w:w="0" w:type="dxa"/>
              <w:right w:w="0" w:type="dxa"/>
            </w:tcMar>
            <w:vAlign w:val="center"/>
          </w:tcPr>
          <w:p>
            <w:pPr>
              <w:pStyle w:val="TableContents"/>
              <w:bidi w:val="0"/>
              <w:jc w:val="center"/>
              <w:rPr>
                <w:rFonts w:ascii="Arial" w:hAnsi="Arial"/>
                <w:b/>
                <w:color w:val="000000"/>
                <w:sz w:val="14"/>
              </w:rPr>
            </w:pPr>
            <w:r>
              <w:rPr>
                <w:rFonts w:ascii="Arial" w:hAnsi="Arial"/>
                <w:b/>
                <w:color w:val="000000"/>
                <w:sz w:val="14"/>
              </w:rPr>
              <w:t>(I.R.S. Employer</w:t>
            </w:r>
          </w:p>
          <w:p>
            <w:pPr>
              <w:pStyle w:val="TableContents"/>
              <w:bidi w:val="0"/>
              <w:spacing w:before="0" w:after="283"/>
              <w:jc w:val="center"/>
              <w:rPr>
                <w:rFonts w:ascii="Arial" w:hAnsi="Arial"/>
                <w:b/>
                <w:color w:val="000000"/>
                <w:sz w:val="14"/>
              </w:rPr>
            </w:pPr>
            <w:r>
              <w:rPr>
                <w:rFonts w:ascii="Arial" w:hAnsi="Arial"/>
                <w:b/>
                <w:color w:val="000000"/>
                <w:sz w:val="14"/>
              </w:rPr>
              <w:t>Identification No.)</w:t>
            </w:r>
          </w:p>
        </w:tc>
      </w:tr>
      <w:tr>
        <w:trPr/>
        <w:tc>
          <w:tcPr>
            <w:tcW w:w="2656" w:type="dxa"/>
            <w:tcBorders/>
            <w:tcMar>
              <w:top w:w="0" w:type="dxa"/>
              <w:left w:w="0" w:type="dxa"/>
              <w:bottom w:w="0" w:type="dxa"/>
              <w:right w:w="0" w:type="dxa"/>
            </w:tcMar>
            <w:vAlign w:val="center"/>
          </w:tcPr>
          <w:p>
            <w:pPr>
              <w:pStyle w:val="TableContents"/>
              <w:bidi w:val="0"/>
              <w:spacing w:before="0" w:after="15"/>
              <w:jc w:val="center"/>
              <w:rPr>
                <w:rFonts w:ascii="Arial" w:hAnsi="Arial"/>
                <w:b/>
                <w:color w:val="000000"/>
                <w:sz w:val="18"/>
              </w:rPr>
            </w:pPr>
            <w:r>
              <w:rPr>
                <w:rFonts w:ascii="Arial" w:hAnsi="Arial"/>
                <w:b/>
                <w:color w:val="000000"/>
                <w:sz w:val="18"/>
              </w:rPr>
              <w:t>5858 Horton Street #455</w:t>
            </w:r>
          </w:p>
          <w:p>
            <w:pPr>
              <w:pStyle w:val="TableContents"/>
              <w:bidi w:val="0"/>
              <w:spacing w:before="0" w:after="15"/>
              <w:jc w:val="center"/>
              <w:rPr>
                <w:rFonts w:ascii="Arial" w:hAnsi="Arial"/>
                <w:b/>
                <w:color w:val="000000"/>
                <w:sz w:val="18"/>
              </w:rPr>
            </w:pPr>
            <w:r>
              <w:rPr>
                <w:rFonts w:ascii="Arial" w:hAnsi="Arial"/>
                <w:b/>
                <w:color w:val="000000"/>
                <w:sz w:val="18"/>
              </w:rPr>
              <w:t>Emeryville, CA</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94608</w:t>
            </w:r>
          </w:p>
        </w:tc>
      </w:tr>
      <w:tr>
        <w:trPr/>
        <w:tc>
          <w:tcPr>
            <w:tcW w:w="265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(Address of principal executive offices)</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(Zip Code)</w:t>
            </w:r>
          </w:p>
        </w:tc>
      </w:tr>
    </w:tbl>
    <w:p>
      <w:pPr>
        <w:pStyle w:val="TextBody"/>
        <w:bidi w:val="0"/>
        <w:spacing w:before="60" w:after="283"/>
        <w:jc w:val="center"/>
        <w:rPr>
          <w:rFonts w:ascii="Times New Roman" w:hAnsi="Times New Roman"/>
          <w:sz w:val="20"/>
        </w:rPr>
      </w:pPr>
      <w:r>
        <w:rPr>
          <w:rFonts w:ascii="Arial" w:hAnsi="Arial"/>
          <w:b/>
          <w:color w:val="000000"/>
          <w:sz w:val="16"/>
        </w:rPr>
        <w:t>Registrant’s telephone number, including area code: (510)</w:t>
      </w:r>
      <w:r>
        <w:rPr>
          <w:rFonts w:ascii="Times New Roman" w:hAnsi="Times New Roman"/>
          <w:color w:val="000000"/>
          <w:sz w:val="20"/>
        </w:rPr>
        <w:t xml:space="preserve"> </w:t>
      </w:r>
      <w:r>
        <w:rPr>
          <w:rFonts w:ascii="Arial" w:hAnsi="Arial"/>
          <w:b/>
          <w:color w:val="000000"/>
          <w:sz w:val="16"/>
        </w:rPr>
        <w:t>505-2680</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Arial" w:hAnsi="Arial"/>
          <w:color w:val="000000"/>
          <w:sz w:val="16"/>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260" w:type="dxa"/>
        <w:jc w:val="left"/>
        <w:tblInd w:w="0" w:type="dxa"/>
        <w:tblLayout w:type="fixed"/>
        <w:tblCellMar>
          <w:top w:w="28" w:type="dxa"/>
          <w:left w:w="28" w:type="dxa"/>
          <w:bottom w:w="28" w:type="dxa"/>
          <w:right w:w="28" w:type="dxa"/>
        </w:tblCellMar>
      </w:tblPr>
      <w:tblGrid>
        <w:gridCol w:w="3391"/>
        <w:gridCol w:w="146"/>
        <w:gridCol w:w="916"/>
        <w:gridCol w:w="146"/>
        <w:gridCol w:w="366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33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Trading</w:t>
            </w:r>
          </w:p>
          <w:p>
            <w:pPr>
              <w:pStyle w:val="TableContents"/>
              <w:bidi w:val="0"/>
              <w:spacing w:before="0" w:after="283"/>
              <w:jc w:val="center"/>
              <w:rPr>
                <w:rFonts w:ascii="Arial" w:hAnsi="Arial"/>
                <w:b/>
                <w:color w:val="000000"/>
                <w:sz w:val="16"/>
              </w:rPr>
            </w:pPr>
            <w:r>
              <w:rPr>
                <w:rFonts w:ascii="Arial" w:hAnsi="Arial"/>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6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Name of each exchange on which registered</w:t>
            </w:r>
          </w:p>
        </w:tc>
      </w:tr>
      <w:tr>
        <w:trPr/>
        <w:tc>
          <w:tcPr>
            <w:tcW w:w="339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FDMT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6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The Nasdaq Global Select Market</w:t>
            </w:r>
          </w:p>
        </w:tc>
      </w:tr>
    </w:tbl>
    <w:p>
      <w:pPr>
        <w:pStyle w:val="TextBody"/>
        <w:bidi w:val="0"/>
        <w:jc w:val="left"/>
        <w:rPr/>
      </w:pPr>
      <w:r>
        <w:rPr/>
        <w:t> </w:t>
      </w:r>
    </w:p>
    <w:p>
      <w:pPr>
        <w:pStyle w:val="TextBody"/>
        <w:bidi w:val="0"/>
        <w:spacing w:before="80" w:after="283"/>
        <w:jc w:val="left"/>
        <w:rPr>
          <w:rFonts w:ascii="Times New Roman" w:hAnsi="Times New Roman"/>
          <w:sz w:val="20"/>
        </w:rPr>
      </w:pPr>
      <w:r>
        <w:rPr>
          <w:rFonts w:ascii="Arial" w:hAnsi="Arial"/>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Arial" w:hAnsi="Arial"/>
          <w:color w:val="000000"/>
          <w:sz w:val="16"/>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Arial" w:hAnsi="Arial"/>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color w:val="000000"/>
          <w:sz w:val="16"/>
        </w:rPr>
        <w:t xml:space="preserve">No </w:t>
      </w:r>
      <w:r>
        <w:rPr>
          <w:rFonts w:ascii="Times New Roman" w:hAnsi="Times New Roman"/>
          <w:color w:val="000000"/>
          <w:sz w:val="20"/>
        </w:rPr>
        <w:t>☐</w:t>
      </w:r>
    </w:p>
    <w:p>
      <w:pPr>
        <w:pStyle w:val="TextBody"/>
        <w:bidi w:val="0"/>
        <w:spacing w:before="80" w:after="283"/>
        <w:jc w:val="left"/>
        <w:rPr>
          <w:rFonts w:ascii="Arial" w:hAnsi="Arial"/>
          <w:color w:val="000000"/>
          <w:sz w:val="16"/>
        </w:rPr>
      </w:pPr>
      <w:r>
        <w:rPr>
          <w:rFonts w:ascii="Arial" w:hAnsi="Arial"/>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242" w:type="dxa"/>
        <w:jc w:val="left"/>
        <w:tblInd w:w="0" w:type="dxa"/>
        <w:tblLayout w:type="fixed"/>
        <w:tblCellMar>
          <w:top w:w="28" w:type="dxa"/>
          <w:left w:w="28" w:type="dxa"/>
          <w:bottom w:w="28" w:type="dxa"/>
          <w:right w:w="28" w:type="dxa"/>
        </w:tblCellMar>
      </w:tblPr>
      <w:tblGrid>
        <w:gridCol w:w="2071"/>
        <w:gridCol w:w="146"/>
        <w:gridCol w:w="316"/>
        <w:gridCol w:w="146"/>
        <w:gridCol w:w="2056"/>
        <w:gridCol w:w="146"/>
        <w:gridCol w:w="36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2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Arial" w:hAnsi="Arial"/>
          <w:color w:val="000000"/>
          <w:sz w:val="16"/>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Arial" w:hAnsi="Arial"/>
          <w:color w:val="000000"/>
          <w:sz w:val="16"/>
        </w:rPr>
        <w:t xml:space="preserve">No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Arial" w:hAnsi="Arial"/>
          <w:color w:val="000000"/>
          <w:sz w:val="16"/>
        </w:rPr>
        <w:t>As of May 6, 2026, there were 52,276,254</w:t>
      </w:r>
      <w:r>
        <w:rPr>
          <w:rFonts w:ascii="Times New Roman" w:hAnsi="Times New Roman"/>
          <w:color w:val="000000"/>
          <w:sz w:val="20"/>
        </w:rPr>
        <w:t xml:space="preserve"> </w:t>
      </w:r>
      <w:r>
        <w:rPr>
          <w:rFonts w:ascii="Arial" w:hAnsi="Arial"/>
          <w:color w:val="000000"/>
          <w:sz w:val="16"/>
        </w:rPr>
        <w:t>shares of 4D Molecular Therapeutics, Inc.</w:t>
      </w:r>
      <w:r>
        <w:rPr>
          <w:rFonts w:ascii="Times New Roman" w:hAnsi="Times New Roman"/>
          <w:color w:val="000000"/>
          <w:sz w:val="20"/>
        </w:rPr>
        <w:t>’</w:t>
      </w:r>
      <w:r>
        <w:rPr>
          <w:rFonts w:ascii="Arial" w:hAnsi="Arial"/>
          <w:color w:val="000000"/>
          <w:sz w:val="16"/>
        </w:rPr>
        <w:t>s common stock outstanding. This number does not include 16,935,665</w:t>
      </w:r>
      <w:r>
        <w:rPr>
          <w:rFonts w:ascii="Times New Roman" w:hAnsi="Times New Roman"/>
          <w:color w:val="000000"/>
          <w:sz w:val="20"/>
        </w:rPr>
        <w:t xml:space="preserve"> </w:t>
      </w:r>
      <w:r>
        <w:rPr>
          <w:rFonts w:ascii="Arial" w:hAnsi="Arial"/>
          <w:color w:val="000000"/>
          <w:sz w:val="16"/>
        </w:rPr>
        <w:t>shares of common stock issuable upon the exercise of pre-funded warrants outstanding as of May 6, 2026 (which are immediately exercisable at an exercise price of $0.0001 per share of common stock, subject to beneficial ownership limitations).</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92"/>
        <w:gridCol w:w="8511"/>
        <w:gridCol w:w="602"/>
      </w:tblGrid>
      <w:tr>
        <w:trPr/>
        <w:tc>
          <w:tcPr>
            <w:tcW w:w="1092" w:type="dxa"/>
            <w:tcBorders/>
            <w:vAlign w:val="center"/>
          </w:tcPr>
          <w:p>
            <w:pPr>
              <w:pStyle w:val="TableContents"/>
              <w:bidi w:val="0"/>
              <w:spacing w:before="0" w:after="283"/>
              <w:jc w:val="left"/>
              <w:rPr>
                <w:sz w:val="4"/>
                <w:szCs w:val="4"/>
              </w:rPr>
            </w:pPr>
            <w:r>
              <w:rPr>
                <w:sz w:val="4"/>
                <w:szCs w:val="4"/>
              </w:rPr>
            </w:r>
          </w:p>
        </w:tc>
        <w:tc>
          <w:tcPr>
            <w:tcW w:w="851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10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Page</w:t>
            </w:r>
          </w:p>
        </w:tc>
      </w:tr>
      <w:tr>
        <w:trPr/>
        <w:tc>
          <w:tcPr>
            <w:tcW w:w="10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w:t>
            </w:r>
          </w:p>
        </w:tc>
        <w:tc>
          <w:tcPr>
            <w:tcW w:w="85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INFORMATION</w:t>
            </w:r>
          </w:p>
        </w:tc>
        <w:tc>
          <w:tcPr>
            <w:tcW w:w="60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r>
      <w:tr>
        <w:trPr/>
        <w:tc>
          <w:tcPr>
            <w:tcW w:w="10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85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unaudited_fs">
              <w:r>
                <w:rPr>
                  <w:rStyle w:val="InternetLink"/>
                  <w:rFonts w:ascii="Arial" w:hAnsi="Arial"/>
                  <w:color w:val="0000FF"/>
                  <w:sz w:val="20"/>
                  <w:u w:val="single"/>
                </w:rPr>
                <w:t>Condensed Financial Statements (Unaudited)</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r>
      <w:tr>
        <w:trPr/>
        <w:tc>
          <w:tcPr>
            <w:tcW w:w="10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balance_sheet">
              <w:r>
                <w:rPr>
                  <w:rStyle w:val="InternetLink"/>
                  <w:rFonts w:ascii="Arial" w:hAnsi="Arial"/>
                  <w:color w:val="0000FF"/>
                  <w:sz w:val="20"/>
                  <w:u w:val="single"/>
                </w:rPr>
                <w:t>Condensed Balance Sheets as of March 31, 2026 and December 31, 2025</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r>
      <w:tr>
        <w:trPr/>
        <w:tc>
          <w:tcPr>
            <w:tcW w:w="10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income_stmt">
              <w:r>
                <w:rPr>
                  <w:rStyle w:val="InternetLink"/>
                  <w:rFonts w:ascii="Arial" w:hAnsi="Arial"/>
                  <w:color w:val="0000FF"/>
                  <w:sz w:val="20"/>
                  <w:u w:val="single"/>
                </w:rPr>
                <w:t>Condensed Statements of Operations for the Three Months Ended March 31, 2026 and 2025</w:t>
              </w:r>
            </w:hyperlink>
          </w:p>
        </w:tc>
        <w:tc>
          <w:tcPr>
            <w:tcW w:w="60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r>
      <w:tr>
        <w:trPr/>
        <w:tc>
          <w:tcPr>
            <w:tcW w:w="10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mt_of_comprehensive_loss">
              <w:r>
                <w:rPr>
                  <w:rStyle w:val="InternetLink"/>
                  <w:rFonts w:ascii="Arial" w:hAnsi="Arial"/>
                  <w:color w:val="0000FF"/>
                  <w:sz w:val="20"/>
                  <w:u w:val="single"/>
                </w:rPr>
                <w:t>Condensed Statements of Comprehensive Loss for the Three Months Ended March 31, 2026 and 2025</w:t>
              </w:r>
            </w:hyperlink>
          </w:p>
        </w:tc>
        <w:tc>
          <w:tcPr>
            <w:tcW w:w="60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r>
      <w:tr>
        <w:trPr/>
        <w:tc>
          <w:tcPr>
            <w:tcW w:w="10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mt_of_stockholders_equity">
              <w:r>
                <w:rPr>
                  <w:rStyle w:val="InternetLink"/>
                  <w:rFonts w:ascii="Arial" w:hAnsi="Arial"/>
                  <w:color w:val="0000FF"/>
                  <w:sz w:val="20"/>
                  <w:u w:val="single"/>
                </w:rPr>
                <w:t>Condensed Statements of Stockholders’ Equity for the Three Months Ended March 31, 2026 and 2025</w:t>
              </w:r>
            </w:hyperlink>
          </w:p>
        </w:tc>
        <w:tc>
          <w:tcPr>
            <w:tcW w:w="60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r>
      <w:tr>
        <w:trPr/>
        <w:tc>
          <w:tcPr>
            <w:tcW w:w="10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mt_of_cash_flows">
              <w:r>
                <w:rPr>
                  <w:rStyle w:val="InternetLink"/>
                  <w:rFonts w:ascii="Arial" w:hAnsi="Arial"/>
                  <w:color w:val="0000FF"/>
                  <w:sz w:val="20"/>
                  <w:u w:val="single"/>
                </w:rPr>
                <w:t>Condensed Statements of Cash Flows for the Three Months Ended March 31, 2026 and 2025</w:t>
              </w:r>
            </w:hyperlink>
          </w:p>
        </w:tc>
        <w:tc>
          <w:tcPr>
            <w:tcW w:w="60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r>
      <w:tr>
        <w:trPr/>
        <w:tc>
          <w:tcPr>
            <w:tcW w:w="10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densed_unaudited_fs">
              <w:r>
                <w:rPr>
                  <w:rStyle w:val="InternetLink"/>
                  <w:rFonts w:ascii="Arial" w:hAnsi="Arial"/>
                  <w:color w:val="0000FF"/>
                  <w:sz w:val="20"/>
                  <w:u w:val="single"/>
                </w:rPr>
                <w:t>Notes to Condensed Financial Statements (Unaudited)</w:t>
              </w:r>
            </w:hyperlink>
          </w:p>
        </w:tc>
        <w:tc>
          <w:tcPr>
            <w:tcW w:w="60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r>
      <w:tr>
        <w:trPr/>
        <w:tc>
          <w:tcPr>
            <w:tcW w:w="10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85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da">
              <w:r>
                <w:rPr>
                  <w:rStyle w:val="InternetLink"/>
                  <w:rFonts w:ascii="Arial" w:hAnsi="Arial"/>
                  <w:color w:val="0000FF"/>
                  <w:sz w:val="20"/>
                  <w:u w:val="single"/>
                </w:rPr>
                <w:t>Management’s Discussion and Analysis of Financial Condition and Results of Operations</w:t>
              </w:r>
            </w:hyperlink>
          </w:p>
        </w:tc>
        <w:tc>
          <w:tcPr>
            <w:tcW w:w="60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w:t>
            </w:r>
          </w:p>
        </w:tc>
      </w:tr>
      <w:tr>
        <w:trPr/>
        <w:tc>
          <w:tcPr>
            <w:tcW w:w="10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85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arket_risk_disclosures">
              <w:r>
                <w:rPr>
                  <w:rStyle w:val="InternetLink"/>
                  <w:rFonts w:ascii="Arial" w:hAnsi="Arial"/>
                  <w:color w:val="0000FF"/>
                  <w:sz w:val="20"/>
                  <w:u w:val="single"/>
                </w:rPr>
                <w:t>Quantitative and Qualitative Disclosures About Market Risk</w:t>
              </w:r>
            </w:hyperlink>
          </w:p>
        </w:tc>
        <w:tc>
          <w:tcPr>
            <w:tcW w:w="60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r>
      <w:tr>
        <w:trPr/>
        <w:tc>
          <w:tcPr>
            <w:tcW w:w="10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85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trols_and_procedures">
              <w:r>
                <w:rPr>
                  <w:rStyle w:val="InternetLink"/>
                  <w:rFonts w:ascii="Arial" w:hAnsi="Arial"/>
                  <w:color w:val="0000FF"/>
                  <w:sz w:val="20"/>
                  <w:u w:val="single"/>
                </w:rPr>
                <w:t>Controls and Procedures</w:t>
              </w:r>
            </w:hyperlink>
          </w:p>
        </w:tc>
        <w:tc>
          <w:tcPr>
            <w:tcW w:w="60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r>
      <w:tr>
        <w:trPr/>
        <w:tc>
          <w:tcPr>
            <w:tcW w:w="10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II.</w:t>
            </w:r>
          </w:p>
        </w:tc>
        <w:tc>
          <w:tcPr>
            <w:tcW w:w="85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OTHER INFORMATION</w:t>
            </w:r>
          </w:p>
        </w:tc>
        <w:tc>
          <w:tcPr>
            <w:tcW w:w="60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w:t>
            </w:r>
          </w:p>
        </w:tc>
      </w:tr>
      <w:tr>
        <w:trPr/>
        <w:tc>
          <w:tcPr>
            <w:tcW w:w="10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85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egal_proceedings">
              <w:r>
                <w:rPr>
                  <w:rStyle w:val="InternetLink"/>
                  <w:rFonts w:ascii="Arial" w:hAnsi="Arial"/>
                  <w:color w:val="0000FF"/>
                  <w:sz w:val="20"/>
                  <w:u w:val="single"/>
                </w:rPr>
                <w:t>Legal Proceedings</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w:t>
            </w:r>
          </w:p>
        </w:tc>
      </w:tr>
      <w:tr>
        <w:trPr/>
        <w:tc>
          <w:tcPr>
            <w:tcW w:w="10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1A.</w:t>
            </w:r>
          </w:p>
        </w:tc>
        <w:tc>
          <w:tcPr>
            <w:tcW w:w="85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Arial" w:hAnsi="Arial"/>
                  <w:color w:val="0000FF"/>
                  <w:sz w:val="20"/>
                  <w:u w:val="single"/>
                </w:rPr>
                <w:t>Risk Factors</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w:t>
            </w:r>
          </w:p>
        </w:tc>
      </w:tr>
      <w:tr>
        <w:trPr/>
        <w:tc>
          <w:tcPr>
            <w:tcW w:w="10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85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unregistered_sales_of_securities">
              <w:r>
                <w:rPr>
                  <w:rStyle w:val="InternetLink"/>
                  <w:rFonts w:ascii="Arial" w:hAnsi="Arial"/>
                  <w:color w:val="0000FF"/>
                  <w:sz w:val="20"/>
                  <w:u w:val="single"/>
                </w:rPr>
                <w:t>Unregistered Sales of Equity Securities and Use of Proceeds</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w:t>
            </w:r>
          </w:p>
        </w:tc>
      </w:tr>
      <w:tr>
        <w:trPr/>
        <w:tc>
          <w:tcPr>
            <w:tcW w:w="10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85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default_upon_senior_securities">
              <w:r>
                <w:rPr>
                  <w:rStyle w:val="InternetLink"/>
                  <w:rFonts w:ascii="Arial" w:hAnsi="Arial"/>
                  <w:color w:val="0000FF"/>
                  <w:sz w:val="20"/>
                  <w:u w:val="single"/>
                </w:rPr>
                <w:t>Defaults Upon Senior Securities</w:t>
              </w:r>
            </w:hyperlink>
            <w:hyperlink w:anchor="default_upon_senior_securities">
              <w:r>
                <w:rPr>
                  <w:rStyle w:val="InternetLink"/>
                  <w:rFonts w:ascii="Times New Roman" w:hAnsi="Times New Roman"/>
                  <w:color w:val="0000FF"/>
                  <w:sz w:val="20"/>
                </w:rPr>
                <w:t xml:space="preserve"> </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w:t>
            </w:r>
          </w:p>
        </w:tc>
      </w:tr>
      <w:tr>
        <w:trPr/>
        <w:tc>
          <w:tcPr>
            <w:tcW w:w="10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85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ine_safety_disclosures">
              <w:r>
                <w:rPr>
                  <w:rStyle w:val="InternetLink"/>
                  <w:rFonts w:ascii="Arial" w:hAnsi="Arial"/>
                  <w:color w:val="0000FF"/>
                  <w:sz w:val="20"/>
                  <w:u w:val="single"/>
                </w:rPr>
                <w:t>Mine Safety Disclosures</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w:t>
            </w:r>
          </w:p>
        </w:tc>
      </w:tr>
      <w:tr>
        <w:trPr/>
        <w:tc>
          <w:tcPr>
            <w:tcW w:w="10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5.</w:t>
            </w:r>
          </w:p>
        </w:tc>
        <w:tc>
          <w:tcPr>
            <w:tcW w:w="85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other_information">
              <w:r>
                <w:rPr>
                  <w:rStyle w:val="InternetLink"/>
                  <w:rFonts w:ascii="Arial" w:hAnsi="Arial"/>
                  <w:color w:val="0000FF"/>
                  <w:sz w:val="20"/>
                  <w:u w:val="single"/>
                </w:rPr>
                <w:t>Other Information</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w:t>
            </w:r>
          </w:p>
        </w:tc>
      </w:tr>
      <w:tr>
        <w:trPr/>
        <w:tc>
          <w:tcPr>
            <w:tcW w:w="10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6.</w:t>
            </w:r>
          </w:p>
        </w:tc>
        <w:tc>
          <w:tcPr>
            <w:tcW w:w="85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xhibits">
              <w:r>
                <w:rPr>
                  <w:rStyle w:val="InternetLink"/>
                  <w:rFonts w:ascii="Arial" w:hAnsi="Arial"/>
                  <w:color w:val="0000FF"/>
                  <w:sz w:val="20"/>
                  <w:u w:val="single"/>
                </w:rPr>
                <w:t>Exhibits</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w:t>
            </w:r>
          </w:p>
        </w:tc>
      </w:tr>
      <w:tr>
        <w:trPr/>
        <w:tc>
          <w:tcPr>
            <w:tcW w:w="109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color w:val="0000FF"/>
                  <w:sz w:val="20"/>
                  <w:u w:val="single"/>
                </w:rPr>
                <w:t>Signatures</w:t>
              </w:r>
            </w:hyperlink>
            <w:r>
              <w:rPr>
                <w:rFonts w:ascii="Times New Roman" w:hAnsi="Times New Roman"/>
                <w:color w:val="000000"/>
                <w:sz w:val="20"/>
              </w:rPr>
              <w:t xml:space="preserve"> </w:t>
            </w:r>
          </w:p>
        </w:tc>
        <w:tc>
          <w:tcPr>
            <w:tcW w:w="8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w:t>
            </w:r>
          </w:p>
        </w:tc>
      </w:tr>
    </w:tbl>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SPECIAL NOTE REGARDING FORWARD-LOOKING STATEMENTS</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This Quarterly Report on Form 10-Q contains forward-looking statements within the meaning of Section 27A of the Securities Act of 1933, as amended (the "Securities Act"), and Section 21E of the Securities Exchange Act of 1934, as amended (the Exchange Act). These forward-looking statements concern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success, cost and timing of our development activities, preclinical studies and clinical trials, including our clinical trials for 4D-150, 4D-175, 4D-710 and 4D-725;</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number, size and design of our planned clinical trials, and what regulatory authorities may require to obtain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timing of Investigational New Drug Application (“IND”) enabling studies and results from such studies;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timing and success of lead optimization for our product candidates in lead optimization;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translation of our preclinical results and data into future clinical trials in humans;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timing of any manufacturing runs for materials to be used in patient trials;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timing or likelihood of regulatory filings and approvals;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ability to obtain and maintain regulatory approval of our product candidates, and any related restrictions, limitations and/or warnings in the label of any approved product candidate;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ability to obtain funding for our operations, including funding necessary to develop and commercialize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rate and degree of market acceptance of our product candidates, if approved;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success of competing products or platform technologies that are or may become available;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plans and ability to establish sales, marketing and distribution infrastructure to commercialize any product candidates for which we obtain approval;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future agreements with third parties in connection with the commercialization of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size and growth potential of the markets for our product candidates, if approved for commercial use, and our ability to serve those markets;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existing regulations and regulatory developments in the United States and foreign countries;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expected potential benefits of strategic collaboration agreements, including our relationships with Otsuka Pharmaceutical Co., Ltd. and Cystic Fibrosis Foundation, and our ability to attract collaborators with development, regulatory and commercialization expertise;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scope of protection we are able to establish and maintain for intellectual property rights covering our product candidates and technology;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potential claims relating to our intellectual property and third-party intellectual property;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ability to contract with third-party suppliers and manufacturers and their ability to perform adequately;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pricing and reimbursement of our product candidates, if approved;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potential effects of public health emergencies on our preclinical and clinical programs and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ability to attract and retain key managerial, scientific and medical personnel;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accuracy of our estimates regarding expenses, capital requirements and needs for additional financing;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financial performance.</w:t>
      </w:r>
    </w:p>
    <w:p>
      <w:pPr>
        <w:pStyle w:val="TextBody"/>
        <w:bidi w:val="0"/>
        <w:spacing w:before="240" w:after="283"/>
        <w:jc w:val="both"/>
        <w:rPr>
          <w:rFonts w:ascii="Times New Roman" w:hAnsi="Times New Roman"/>
          <w:sz w:val="20"/>
        </w:rPr>
      </w:pPr>
      <w:r>
        <w:rPr>
          <w:rFonts w:ascii="Arial" w:hAnsi="Arial"/>
          <w:color w:val="000000"/>
          <w:sz w:val="20"/>
        </w:rPr>
        <w:t>These forward-looking statements are based on management’s current expectations, estimates, forecasts and projections about our business and the industry in which we operate and management’s beliefs and assumptions and are not guarantees of future performance or development and involve known and unknown risks, uncertainties and other factors that are in some cases beyond our control. As a result, any or all of our forward-looking statements in this Quarterly Report on Form 10-Q may turn out to be inaccurate. Factors that may cause actual results to differ materially from current expectations include, among other things, those listed under the section titled “Risk Factors” and elsewhere in this Quarterly Report on Form 10-Q. Potential investors are urged to consider these factors carefully in evaluating the forward-looking statements. These forward-looking statements speak only as of the date of this Quarterly Report on Form 10-Q. Except as required by law, we assume no obligation to update or revise these forward-looking statements for any reason, even if new information becomes available in the future. You should, however, review the factors and risks we describe in the reports we will file from time to time with the SEC after the date of this Quarterly Report on Form 10-Q.</w:t>
      </w:r>
      <w:r>
        <w:rPr>
          <w:rFonts w:ascii="Times New Roman" w:hAnsi="Times New Roman"/>
          <w:color w:val="000000"/>
          <w:sz w:val="20"/>
        </w:rPr>
        <w:t xml:space="preserve"> </w:t>
      </w:r>
    </w:p>
    <w:p>
      <w:pPr>
        <w:pStyle w:val="TextBody"/>
        <w:bidi w:val="0"/>
        <w:spacing w:before="240" w:after="240"/>
        <w:jc w:val="center"/>
        <w:rPr>
          <w:rFonts w:ascii="Arial" w:hAnsi="Arial"/>
          <w:b/>
          <w:color w:val="000000"/>
          <w:sz w:val="20"/>
        </w:rPr>
      </w:pPr>
      <w:r>
        <w:rPr>
          <w:rFonts w:ascii="Arial" w:hAnsi="Arial"/>
          <w:b/>
          <w:color w:val="000000"/>
          <w:sz w:val="20"/>
        </w:rPr>
        <w:t>Risk Factor Summary</w:t>
      </w:r>
    </w:p>
    <w:p>
      <w:pPr>
        <w:pStyle w:val="TextBody"/>
        <w:bidi w:val="0"/>
        <w:spacing w:before="0" w:after="240"/>
        <w:jc w:val="both"/>
        <w:rPr>
          <w:rFonts w:ascii="Arial" w:hAnsi="Arial"/>
          <w:color w:val="000000"/>
          <w:sz w:val="20"/>
        </w:rPr>
      </w:pPr>
      <w:r>
        <w:rPr>
          <w:rFonts w:ascii="Arial" w:hAnsi="Arial"/>
          <w:color w:val="000000"/>
          <w:sz w:val="20"/>
        </w:rPr>
        <w:t>Our ability to implement our business strategy is subject to numerous risks that you should be aware of before making an investment decision. The following is a summary of the principal risks that could seriously harm our business, all of which are more fully described in Part II. Item 1A. “Risk Factors” in this Quarterly Report on Form 10-Q. This summary should be read in conjunction with the other risk factors included in this “Risk Factors” section and should not be relied upon as an exhaustive summary of the material risks facing our business.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We are in the late stages of drug development for our lead program and have a limited operating history and no products approved for commercial sale, which may make it difficult to evaluate our current business and predict our future success and viability.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have had recurring net losses, and we expect to continue to incur significant net losses for the foreseeable future.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All of our product candidates are based on a novel AAV genetic medicine technology with which there is limited regulatory and clinical experience to date, which makes it difficult to predict the time and cost of product candidate development and subsequently obtaining regulatory approval. Further, the regulatory approval process for novel product candidates such as ours can be more expensive and take longer than for other, better known or extensively studied therapeutic modalities.</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Adverse public perception or regulatory scrutiny of genetic medicine technology may negatively impact the developmental progress or commercial success of products that we develop alone or with collaborators.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clinical trials may fail to demonstrate substantial evidence of the safety and efficacy of our product candidates, which would prevent, delay or limit the scope of regulatory approval and commercialization, which could seriously harm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Gene therapies are novel, complex and difficult to manufacture. We could experience production problems that result in delays in our development or commercialization programs, limit the supply of our products or otherwise seriously harm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regulatory approval processes of the FDA, European Medicines Agency ("EMA") and comparable foreign regulatory authorities are lengthy, expensive, time consuming, and inherently unpredictable. If we are ultimately unable to obtain regulatory approval for our product candidates, we will be unable to generate product revenue and our business will be substantially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success depends on our ability to protect our intellectual property and our proprietary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rights to develop and commercialize our product candidates are subject in part to the terms and conditions of licenses granted to us by others, and the patent protection, prosecution and enforcement for some of our product candidates may be dependent on our licensors.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employees, independent contractors, consultants, research or commercial partners or collaborators and vendors may engage in misconduct or other improper activities, including noncompliance with regulatory standards and requirements.</w:t>
      </w:r>
    </w:p>
    <w:p>
      <w:pPr>
        <w:pStyle w:val="TextBody"/>
        <w:bidi w:val="0"/>
        <w:jc w:val="center"/>
        <w:rPr/>
      </w:pPr>
      <w:r>
        <w:rPr/>
        <w:t> </w:t>
      </w:r>
    </w:p>
    <w:p>
      <w:pPr>
        <w:pStyle w:val="TextBody"/>
        <w:bidi w:val="0"/>
        <w:spacing w:before="480" w:after="283"/>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80" w:after="283"/>
        <w:jc w:val="left"/>
        <w:rPr>
          <w:rFonts w:ascii="Times New Roman" w:hAnsi="Times New Roman"/>
          <w:sz w:val="20"/>
        </w:rPr>
      </w:pPr>
      <w:bookmarkStart w:id="2" w:name="toc_page"/>
      <w:bookmarkEnd w:id="2"/>
      <w:r>
        <w:rPr>
          <w:rFonts w:ascii="Arial" w:hAnsi="Arial"/>
          <w:b/>
          <w:color w:val="000000"/>
          <w:sz w:val="20"/>
        </w:rPr>
        <w:t>PART I. FINANCIAL INFORMATION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bookmarkStart w:id="3" w:name="condensed_unaudited_fs"/>
      <w:bookmarkEnd w:id="3"/>
      <w:r>
        <w:rPr>
          <w:rFonts w:ascii="Arial" w:hAnsi="Arial"/>
          <w:b/>
          <w:color w:val="000000"/>
          <w:sz w:val="20"/>
        </w:rPr>
        <w:t>Item 1. Condensed Financial Statements (Unaudited)</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Arial" w:hAnsi="Arial"/>
          <w:b/>
          <w:color w:val="000000"/>
          <w:sz w:val="20"/>
        </w:rPr>
        <w:t>4D Molecular Therapeutics, Inc.</w:t>
      </w:r>
      <w:r>
        <w:rPr>
          <w:rFonts w:ascii="Times New Roman" w:hAnsi="Times New Roman"/>
          <w:color w:val="000000"/>
          <w:sz w:val="20"/>
        </w:rPr>
        <w:t xml:space="preserve"> </w:t>
      </w:r>
    </w:p>
    <w:p>
      <w:pPr>
        <w:pStyle w:val="TextBody"/>
        <w:bidi w:val="0"/>
        <w:jc w:val="center"/>
        <w:rPr>
          <w:rFonts w:ascii="Arial" w:hAnsi="Arial"/>
          <w:b/>
          <w:color w:val="000000"/>
          <w:sz w:val="20"/>
        </w:rPr>
      </w:pPr>
      <w:bookmarkStart w:id="4" w:name="condensed_balance_sheet"/>
      <w:bookmarkEnd w:id="4"/>
      <w:r>
        <w:rPr>
          <w:rFonts w:ascii="Arial" w:hAnsi="Arial"/>
          <w:b/>
          <w:color w:val="000000"/>
          <w:sz w:val="20"/>
        </w:rPr>
        <w:t>Condensed Balance Sheets</w:t>
      </w:r>
    </w:p>
    <w:p>
      <w:pPr>
        <w:pStyle w:val="TextBody"/>
        <w:bidi w:val="0"/>
        <w:jc w:val="center"/>
        <w:rPr>
          <w:rFonts w:ascii="Times New Roman" w:hAnsi="Times New Roman"/>
          <w:sz w:val="20"/>
        </w:rPr>
      </w:pPr>
      <w:r>
        <w:rPr>
          <w:rFonts w:ascii="Arial" w:hAnsi="Arial"/>
          <w:b/>
          <w:color w:val="000000"/>
          <w:sz w:val="20"/>
        </w:rPr>
        <w:t>(In thousands, except share and per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52"/>
        <w:gridCol w:w="146"/>
        <w:gridCol w:w="211"/>
        <w:gridCol w:w="961"/>
        <w:gridCol w:w="166"/>
        <w:gridCol w:w="146"/>
        <w:gridCol w:w="211"/>
        <w:gridCol w:w="961"/>
        <w:gridCol w:w="751"/>
      </w:tblGrid>
      <w:tr>
        <w:trPr/>
        <w:tc>
          <w:tcPr>
            <w:tcW w:w="66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2025</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72,488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60,241</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318,404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342,414</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10,479</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405,364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413,134</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Marketable securities,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66,739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111,379</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14,867</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right-of-use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18,143</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9,188</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512,905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566,711</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14,692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11,159</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Accrued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22,866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26,874</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360</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Operating lease liabilities,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5,592</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43,404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43,985</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Deferred revenue,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745</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Derivative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358</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liabilities, long-term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15,821</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61,069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61,047</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Commitments and contingencies (Note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Preferred stock, $0.0001</w:t>
            </w:r>
            <w:r>
              <w:rPr>
                <w:rFonts w:ascii="Times New Roman" w:hAnsi="Times New Roman"/>
                <w:color w:val="000000"/>
                <w:sz w:val="20"/>
              </w:rPr>
              <w:t> </w:t>
            </w:r>
            <w:r>
              <w:rPr>
                <w:rFonts w:ascii="Arial" w:hAnsi="Arial"/>
                <w:color w:val="000000"/>
                <w:sz w:val="20"/>
              </w:rPr>
              <w:t>par value, 10,000,000</w:t>
            </w:r>
            <w:r>
              <w:rPr>
                <w:rFonts w:ascii="Times New Roman" w:hAnsi="Times New Roman"/>
                <w:color w:val="000000"/>
                <w:sz w:val="20"/>
              </w:rPr>
              <w:t> </w:t>
            </w:r>
            <w:r>
              <w:rPr>
                <w:rFonts w:ascii="Arial" w:hAnsi="Arial"/>
                <w:color w:val="000000"/>
                <w:sz w:val="20"/>
              </w:rPr>
              <w:t>shares authorized at March 31, 2026 and December 31, 2025; no</w:t>
            </w:r>
            <w:r>
              <w:rPr>
                <w:rFonts w:ascii="Times New Roman" w:hAnsi="Times New Roman"/>
                <w:color w:val="000000"/>
                <w:sz w:val="20"/>
              </w:rPr>
              <w:t> </w:t>
            </w:r>
            <w:r>
              <w:rPr>
                <w:rFonts w:ascii="Arial" w:hAnsi="Arial"/>
                <w:color w:val="000000"/>
                <w:sz w:val="20"/>
              </w:rPr>
              <w:t>shares issued and outstanding at March 31,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Common stock, $0.0001</w:t>
            </w:r>
            <w:r>
              <w:rPr>
                <w:rFonts w:ascii="Times New Roman" w:hAnsi="Times New Roman"/>
                <w:color w:val="000000"/>
                <w:sz w:val="20"/>
              </w:rPr>
              <w:t> </w:t>
            </w:r>
            <w:r>
              <w:rPr>
                <w:rFonts w:ascii="Arial" w:hAnsi="Arial"/>
                <w:color w:val="000000"/>
                <w:sz w:val="20"/>
              </w:rPr>
              <w:t>par value, 300,000,000</w:t>
            </w:r>
            <w:r>
              <w:rPr>
                <w:rFonts w:ascii="Times New Roman" w:hAnsi="Times New Roman"/>
                <w:color w:val="000000"/>
                <w:sz w:val="20"/>
              </w:rPr>
              <w:t> </w:t>
            </w:r>
            <w:r>
              <w:rPr>
                <w:rFonts w:ascii="Arial" w:hAnsi="Arial"/>
                <w:color w:val="000000"/>
                <w:sz w:val="20"/>
              </w:rPr>
              <w:t>shares authorized at March 31, 2026 and December 31, 2025; 52,271,648</w:t>
            </w:r>
            <w:r>
              <w:rPr>
                <w:rFonts w:ascii="Times New Roman" w:hAnsi="Times New Roman"/>
                <w:color w:val="000000"/>
                <w:sz w:val="20"/>
              </w:rPr>
              <w:t> </w:t>
            </w:r>
            <w:r>
              <w:rPr>
                <w:rFonts w:ascii="Arial" w:hAnsi="Arial"/>
                <w:color w:val="000000"/>
                <w:sz w:val="20"/>
              </w:rPr>
              <w:t>and 57,607,874</w:t>
            </w:r>
            <w:r>
              <w:rPr>
                <w:rFonts w:ascii="Times New Roman" w:hAnsi="Times New Roman"/>
                <w:color w:val="000000"/>
                <w:sz w:val="20"/>
              </w:rPr>
              <w:t> </w:t>
            </w:r>
            <w:r>
              <w:rPr>
                <w:rFonts w:ascii="Arial" w:hAnsi="Arial"/>
                <w:color w:val="000000"/>
                <w:sz w:val="20"/>
              </w:rPr>
              <w:t>shares issued and outstanding at March 31,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Additional paid-in-capital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1,237,075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1,221,235</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Accumulated other comprehensive gain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727</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(785,064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(716,304</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451,836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505,664</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512,905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566,711</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Arial" w:hAnsi="Arial"/>
          <w:i/>
          <w:color w:val="000000"/>
          <w:sz w:val="20"/>
        </w:rPr>
        <w:t>The accompanying notes are an integral part of these condensed financial statements.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4D Molecular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densed_income_stmt"/>
      <w:bookmarkEnd w:id="5"/>
      <w:r>
        <w:rPr>
          <w:rFonts w:ascii="Arial" w:hAnsi="Arial"/>
          <w:b/>
          <w:color w:val="000000"/>
          <w:sz w:val="20"/>
        </w:rPr>
        <w:t>Condensed 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(In thousands, except share and per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62"/>
        <w:gridCol w:w="146"/>
        <w:gridCol w:w="211"/>
        <w:gridCol w:w="1036"/>
        <w:gridCol w:w="166"/>
        <w:gridCol w:w="146"/>
        <w:gridCol w:w="211"/>
        <w:gridCol w:w="1036"/>
        <w:gridCol w:w="591"/>
      </w:tblGrid>
      <w:tr>
        <w:trPr/>
        <w:tc>
          <w:tcPr>
            <w:tcW w:w="6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Collaboration and license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64,980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40,699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12,936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76,667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53,635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(73,620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(53,621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5,582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5,649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(68,760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(47,972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(0.86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Weighted-average shares outstanding used in computing 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68,064,586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55,744,047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Arial" w:hAnsi="Arial"/>
          <w:i/>
          <w:color w:val="000000"/>
          <w:sz w:val="20"/>
        </w:rPr>
      </w:pPr>
      <w:r>
        <w:rPr>
          <w:rFonts w:ascii="Arial" w:hAnsi="Arial"/>
          <w:i/>
          <w:color w:val="000000"/>
          <w:sz w:val="20"/>
        </w:rPr>
        <w:t>The accompanying notes are an integral part of these condensed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6" w:name="condensed_stmt_of_comprehensive_loss"/>
      <w:bookmarkEnd w:id="6"/>
      <w:r>
        <w:rPr>
          <w:rFonts w:ascii="Arial" w:hAnsi="Arial"/>
          <w:b/>
          <w:color w:val="000000"/>
          <w:sz w:val="20"/>
        </w:rPr>
        <w:t>4D Molecular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Condensed Statements of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(In thousands)</w:t>
      </w:r>
      <w:r>
        <w:rPr>
          <w:rFonts w:ascii="Times New Roman" w:hAnsi="Times New Roman"/>
          <w:color w:val="000000"/>
          <w:sz w:val="20"/>
        </w:rPr>
        <w:t xml:space="preserve"> </w:t>
      </w:r>
    </w:p>
    <w:p>
      <w:pPr>
        <w:pStyle w:val="TextBody"/>
        <w:bidi w:val="0"/>
        <w:jc w:val="center"/>
        <w:rPr/>
      </w:pPr>
      <w:r>
        <w:rPr/>
        <w:t> </w:t>
      </w:r>
    </w:p>
    <w:tbl>
      <w:tblPr>
        <w:tblW w:w="7545" w:type="dxa"/>
        <w:jc w:val="left"/>
        <w:tblInd w:w="0" w:type="dxa"/>
        <w:tblLayout w:type="fixed"/>
        <w:tblCellMar>
          <w:top w:w="28" w:type="dxa"/>
          <w:left w:w="28" w:type="dxa"/>
          <w:bottom w:w="28" w:type="dxa"/>
          <w:right w:w="28" w:type="dxa"/>
        </w:tblCellMar>
      </w:tblPr>
      <w:tblGrid>
        <w:gridCol w:w="4461"/>
        <w:gridCol w:w="146"/>
        <w:gridCol w:w="243"/>
        <w:gridCol w:w="851"/>
        <w:gridCol w:w="191"/>
        <w:gridCol w:w="168"/>
        <w:gridCol w:w="243"/>
        <w:gridCol w:w="851"/>
        <w:gridCol w:w="391"/>
      </w:tblGrid>
      <w:tr>
        <w:trPr/>
        <w:tc>
          <w:tcPr>
            <w:tcW w:w="4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(68,760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(47,972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Net unrealized gain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(69,667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(47,869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center"/>
        <w:rPr/>
      </w:pPr>
      <w:r>
        <w:rPr/>
        <w:t> </w:t>
      </w:r>
    </w:p>
    <w:p>
      <w:pPr>
        <w:pStyle w:val="TextBody"/>
        <w:bidi w:val="0"/>
        <w:jc w:val="center"/>
        <w:rPr>
          <w:rFonts w:ascii="Arial" w:hAnsi="Arial"/>
          <w:i/>
          <w:color w:val="000000"/>
          <w:sz w:val="20"/>
        </w:rPr>
      </w:pPr>
      <w:r>
        <w:rPr>
          <w:rFonts w:ascii="Arial" w:hAnsi="Arial"/>
          <w:i/>
          <w:color w:val="000000"/>
          <w:sz w:val="20"/>
        </w:rPr>
        <w:t>The accompanying notes are an integral part of these condensed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bookmarkStart w:id="7" w:name="condensed_stmt_of_stockholders_equity"/>
      <w:bookmarkEnd w:id="7"/>
      <w:r>
        <w:rPr/>
        <w:t> </w:t>
      </w:r>
    </w:p>
    <w:p>
      <w:pPr>
        <w:pStyle w:val="TextBody"/>
        <w:bidi w:val="0"/>
        <w:jc w:val="center"/>
        <w:rPr>
          <w:rFonts w:ascii="Arial" w:hAnsi="Arial"/>
          <w:b/>
          <w:color w:val="000000"/>
          <w:sz w:val="20"/>
        </w:rPr>
      </w:pPr>
      <w:r>
        <w:rPr>
          <w:rFonts w:ascii="Arial" w:hAnsi="Arial"/>
          <w:b/>
          <w:color w:val="000000"/>
          <w:sz w:val="20"/>
        </w:rPr>
        <w:t>4D Molecular Therapeutics, Inc.</w:t>
      </w:r>
    </w:p>
    <w:p>
      <w:pPr>
        <w:pStyle w:val="TextBody"/>
        <w:bidi w:val="0"/>
        <w:jc w:val="center"/>
        <w:rPr>
          <w:rFonts w:ascii="Times New Roman" w:hAnsi="Times New Roman"/>
          <w:sz w:val="20"/>
        </w:rPr>
      </w:pPr>
      <w:r>
        <w:rPr>
          <w:rFonts w:ascii="Arial" w:hAnsi="Arial"/>
          <w:b/>
          <w:color w:val="000000"/>
          <w:sz w:val="20"/>
        </w:rPr>
        <w:t>Condensed Statements of Stockholders’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(In thousands, except share amounts)</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846"/>
        <w:gridCol w:w="146"/>
        <w:gridCol w:w="146"/>
        <w:gridCol w:w="916"/>
        <w:gridCol w:w="151"/>
        <w:gridCol w:w="146"/>
        <w:gridCol w:w="239"/>
        <w:gridCol w:w="422"/>
        <w:gridCol w:w="151"/>
        <w:gridCol w:w="146"/>
        <w:gridCol w:w="196"/>
        <w:gridCol w:w="826"/>
        <w:gridCol w:w="146"/>
        <w:gridCol w:w="146"/>
        <w:gridCol w:w="456"/>
        <w:gridCol w:w="982"/>
        <w:gridCol w:w="151"/>
        <w:gridCol w:w="146"/>
        <w:gridCol w:w="224"/>
        <w:gridCol w:w="842"/>
        <w:gridCol w:w="151"/>
        <w:gridCol w:w="146"/>
        <w:gridCol w:w="239"/>
        <w:gridCol w:w="847"/>
        <w:gridCol w:w="398"/>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Common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Accumulated Other 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Total</w:t>
              <w:br/>
              <w:t>Stockholders’</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Gain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Equity</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Balances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57,607,874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1,221,235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727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(716,304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505,664</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Issuance of common stock upon exercise of stock options and vesting of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251,629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1,674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1,674</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Issuance of common stock upon ATM offering,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1,012,145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9,712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9,712</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Exchange of common stock for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(6,600,000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4,453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4,453</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Net unrealized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(907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(907</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(68,760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(68,760</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Balances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52,271,648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4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1,237,075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9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(180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(785,064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451,836</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61"/>
        <w:gridCol w:w="146"/>
        <w:gridCol w:w="146"/>
        <w:gridCol w:w="916"/>
        <w:gridCol w:w="146"/>
        <w:gridCol w:w="146"/>
        <w:gridCol w:w="239"/>
        <w:gridCol w:w="422"/>
        <w:gridCol w:w="146"/>
        <w:gridCol w:w="146"/>
        <w:gridCol w:w="196"/>
        <w:gridCol w:w="826"/>
        <w:gridCol w:w="146"/>
        <w:gridCol w:w="146"/>
        <w:gridCol w:w="494"/>
        <w:gridCol w:w="949"/>
        <w:gridCol w:w="146"/>
        <w:gridCol w:w="146"/>
        <w:gridCol w:w="224"/>
        <w:gridCol w:w="842"/>
        <w:gridCol w:w="151"/>
        <w:gridCol w:w="146"/>
        <w:gridCol w:w="239"/>
        <w:gridCol w:w="847"/>
        <w:gridCol w:w="393"/>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Accumulated Other 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Total</w:t>
              <w:br/>
              <w:t>Stockholders’</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Gain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Equity</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Balances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45,793,942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1,086,567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(576,195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510,606</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Issuance of common stock upon exercise of stock options and vesting of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22,235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Issuance of common stock upon exercise of equity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508,465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6,986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6,986</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Net unrealized gain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103</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(47,972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(47,972</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Balances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46,324,642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4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1,093,553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9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(624,167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469,723</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Arial" w:hAnsi="Arial"/>
          <w:i/>
          <w:color w:val="000000"/>
          <w:sz w:val="20"/>
        </w:rPr>
      </w:pPr>
      <w:r>
        <w:rPr>
          <w:rFonts w:ascii="Arial" w:hAnsi="Arial"/>
          <w:i/>
          <w:color w:val="000000"/>
          <w:sz w:val="20"/>
        </w:rPr>
        <w:t>The accompanying notes are an integral part of these condensed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8" w:name="condensed_stmt_of_cash_flows"/>
      <w:bookmarkEnd w:id="8"/>
      <w:r>
        <w:rPr>
          <w:rFonts w:ascii="Arial" w:hAnsi="Arial"/>
          <w:b/>
          <w:color w:val="000000"/>
          <w:sz w:val="20"/>
        </w:rPr>
        <w:t>4D Molecular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Condensed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(In thousands)</w:t>
      </w:r>
      <w:r>
        <w:rPr>
          <w:rFonts w:ascii="Times New Roman" w:hAnsi="Times New Roman"/>
          <w:color w:val="000000"/>
          <w:sz w:val="20"/>
        </w:rPr>
        <w:t xml:space="preserve"> </w:t>
      </w:r>
    </w:p>
    <w:p>
      <w:pPr>
        <w:pStyle w:val="TextBody"/>
        <w:bidi w:val="0"/>
        <w:jc w:val="left"/>
        <w:rPr/>
      </w:pPr>
      <w:r>
        <w:rPr/>
        <w:t> </w:t>
      </w:r>
    </w:p>
    <w:tbl>
      <w:tblPr>
        <w:tblW w:w="9362" w:type="dxa"/>
        <w:jc w:val="left"/>
        <w:tblInd w:w="0" w:type="dxa"/>
        <w:tblLayout w:type="fixed"/>
        <w:tblCellMar>
          <w:top w:w="28" w:type="dxa"/>
          <w:left w:w="28" w:type="dxa"/>
          <w:bottom w:w="28" w:type="dxa"/>
          <w:right w:w="28" w:type="dxa"/>
        </w:tblCellMar>
      </w:tblPr>
      <w:tblGrid>
        <w:gridCol w:w="5896"/>
        <w:gridCol w:w="146"/>
        <w:gridCol w:w="225"/>
        <w:gridCol w:w="851"/>
        <w:gridCol w:w="177"/>
        <w:gridCol w:w="156"/>
        <w:gridCol w:w="225"/>
        <w:gridCol w:w="915"/>
        <w:gridCol w:w="771"/>
      </w:tblGrid>
      <w:tr>
        <w:trPr/>
        <w:tc>
          <w:tcPr>
            <w:tcW w:w="5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(68,760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(47,972</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 xml:space="preserve">Adjustments to reconcile net loss to net cash used in operating </w:t>
              <w:br/>
              <w:t>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4,453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6,986</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Change in fair value of derivative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1,051</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Amortization of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786</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703</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accretion of discount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(1,134</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(1,267</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(3,993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(1,074</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(670</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(2,782</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3,533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(235</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Accrued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(4,123</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(2,312</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(878</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(754</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(68,125</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(47,758</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Purchases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(33,519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(134,077</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102,396</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166,656</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Disposal (acquisition)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(631</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Net cash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68,888</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31,948</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Issuance of common stock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1,674</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 xml:space="preserve">Issuance of common stock under the ATM offering program, </w:t>
              <w:br/>
              <w:t>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9,810</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11,484</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Net increase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12,247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(15,810</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60,241</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149,336</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72,488</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133,526</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Supplemental disclosures of noncash investing and financing</w:t>
              <w:br/>
              <w:t>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 xml:space="preserve">Purchases of property and equipment in accounts payable </w:t>
              <w:br/>
              <w:t>and accrued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 xml:space="preserve">Unpaid costs from ATM offering program in accrued and </w:t>
              <w:b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Arial" w:hAnsi="Arial"/>
          <w:i/>
          <w:color w:val="000000"/>
          <w:sz w:val="20"/>
        </w:rPr>
        <w:t>The accompanying notes are an integral part of these condensed financial statements.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9" w:name="notes_to_condensed_unaudited_fs"/>
      <w:bookmarkEnd w:id="9"/>
      <w:r>
        <w:rPr>
          <w:rFonts w:ascii="Arial" w:hAnsi="Arial"/>
          <w:b/>
          <w:color w:val="000000"/>
          <w:sz w:val="20"/>
        </w:rPr>
        <w:t>4D Molecular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Financial Statements (Unaudited)</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b/>
          <w:i/>
          <w:color w:val="000000"/>
          <w:sz w:val="20"/>
        </w:rPr>
        <w:t>1. The Company</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4D Molecular Therapeutics, Inc. (the “Company”) was formed as a limited liability company in September 2013 under the name 4D Molecular Therapeutics, LLC. The Company changed its name and converted into a corporation which was incorporated in the state of Delaware in March 2015. The Company is a late-stage biotechnology company advancing durable and disease-targeted therapeutics with potential to transform treatment paradigms and provide benefits to patients.</w:t>
      </w:r>
    </w:p>
    <w:p>
      <w:pPr>
        <w:pStyle w:val="TextBody"/>
        <w:bidi w:val="0"/>
        <w:spacing w:before="240" w:after="283"/>
        <w:jc w:val="both"/>
        <w:rPr>
          <w:rFonts w:ascii="Arial" w:hAnsi="Arial"/>
          <w:b/>
          <w:color w:val="000000"/>
          <w:sz w:val="20"/>
        </w:rPr>
      </w:pPr>
      <w:r>
        <w:rPr>
          <w:rFonts w:ascii="Arial" w:hAnsi="Arial"/>
          <w:b/>
          <w:color w:val="000000"/>
          <w:sz w:val="20"/>
        </w:rPr>
        <w:t>2025 Offering</w:t>
      </w:r>
    </w:p>
    <w:p>
      <w:pPr>
        <w:pStyle w:val="TextBody"/>
        <w:bidi w:val="0"/>
        <w:spacing w:before="240" w:after="283"/>
        <w:jc w:val="both"/>
        <w:rPr>
          <w:rFonts w:ascii="Times New Roman" w:hAnsi="Times New Roman"/>
          <w:sz w:val="20"/>
        </w:rPr>
      </w:pPr>
      <w:r>
        <w:rPr>
          <w:rFonts w:ascii="Arial" w:hAnsi="Arial"/>
          <w:color w:val="222222"/>
          <w:sz w:val="20"/>
        </w:rPr>
        <w:t>In November 2025, the Company completed an underwritten offering (the “2025 Offering”) in which 8,385,809</w:t>
      </w:r>
      <w:r>
        <w:rPr>
          <w:rFonts w:ascii="Times New Roman" w:hAnsi="Times New Roman"/>
          <w:color w:val="222222"/>
          <w:sz w:val="20"/>
        </w:rPr>
        <w:t xml:space="preserve"> </w:t>
      </w:r>
      <w:r>
        <w:rPr>
          <w:rFonts w:ascii="Arial" w:hAnsi="Arial"/>
          <w:color w:val="222222"/>
          <w:sz w:val="20"/>
        </w:rPr>
        <w:t>shares of the Company’s common stock were sold at an offering price of $10.51</w:t>
      </w:r>
      <w:r>
        <w:rPr>
          <w:rFonts w:ascii="Times New Roman" w:hAnsi="Times New Roman"/>
          <w:color w:val="222222"/>
          <w:sz w:val="20"/>
        </w:rPr>
        <w:t xml:space="preserve"> </w:t>
      </w:r>
      <w:r>
        <w:rPr>
          <w:rFonts w:ascii="Arial" w:hAnsi="Arial"/>
          <w:color w:val="222222"/>
          <w:sz w:val="20"/>
        </w:rPr>
        <w:t>per share, as well as pre-funded warrants to purchase 1,128,949</w:t>
      </w:r>
      <w:r>
        <w:rPr>
          <w:rFonts w:ascii="Times New Roman" w:hAnsi="Times New Roman"/>
          <w:color w:val="222222"/>
          <w:sz w:val="20"/>
        </w:rPr>
        <w:t xml:space="preserve"> </w:t>
      </w:r>
      <w:r>
        <w:rPr>
          <w:rFonts w:ascii="Arial" w:hAnsi="Arial"/>
          <w:color w:val="222222"/>
          <w:sz w:val="20"/>
        </w:rPr>
        <w:t>shares of the Company’s common stock at an offering price of $10.5099</w:t>
      </w:r>
      <w:r>
        <w:rPr>
          <w:rFonts w:ascii="Times New Roman" w:hAnsi="Times New Roman"/>
          <w:color w:val="222222"/>
          <w:sz w:val="20"/>
        </w:rPr>
        <w:t xml:space="preserve"> </w:t>
      </w:r>
      <w:r>
        <w:rPr>
          <w:rFonts w:ascii="Arial" w:hAnsi="Arial"/>
          <w:color w:val="222222"/>
          <w:sz w:val="20"/>
        </w:rPr>
        <w:t>per underlying share pursuant to an effective Registration Statement on Form S-3. The net proceeds from the 2025 Offering were approximately $93.3</w:t>
      </w:r>
      <w:r>
        <w:rPr>
          <w:rFonts w:ascii="Times New Roman" w:hAnsi="Times New Roman"/>
          <w:color w:val="222222"/>
          <w:sz w:val="20"/>
        </w:rPr>
        <w:t xml:space="preserve"> </w:t>
      </w:r>
      <w:r>
        <w:rPr>
          <w:rFonts w:ascii="Arial" w:hAnsi="Arial"/>
          <w:color w:val="222222"/>
          <w:sz w:val="20"/>
        </w:rPr>
        <w:t>million, after deducting the underwriting discounts and commissions and other offering expenses.</w:t>
      </w:r>
      <w:r>
        <w:rPr>
          <w:rFonts w:ascii="Times New Roman" w:hAnsi="Times New Roman"/>
          <w:color w:val="222222"/>
          <w:sz w:val="20"/>
        </w:rPr>
        <w:t xml:space="preserve"> </w:t>
      </w:r>
    </w:p>
    <w:p>
      <w:pPr>
        <w:pStyle w:val="TextBody"/>
        <w:bidi w:val="0"/>
        <w:spacing w:before="240" w:after="283"/>
        <w:jc w:val="both"/>
        <w:rPr>
          <w:rFonts w:ascii="Arial" w:hAnsi="Arial"/>
          <w:b/>
          <w:color w:val="000000"/>
          <w:sz w:val="20"/>
        </w:rPr>
      </w:pPr>
      <w:r>
        <w:rPr>
          <w:rFonts w:ascii="Arial" w:hAnsi="Arial"/>
          <w:b/>
          <w:color w:val="000000"/>
          <w:sz w:val="20"/>
        </w:rPr>
        <w:t>Liquidity</w:t>
      </w:r>
    </w:p>
    <w:p>
      <w:pPr>
        <w:pStyle w:val="TextBody"/>
        <w:bidi w:val="0"/>
        <w:spacing w:before="120" w:after="283"/>
        <w:jc w:val="both"/>
        <w:rPr>
          <w:rFonts w:ascii="Times New Roman" w:hAnsi="Times New Roman"/>
          <w:sz w:val="20"/>
        </w:rPr>
      </w:pPr>
      <w:r>
        <w:rPr>
          <w:rFonts w:ascii="Arial" w:hAnsi="Arial"/>
          <w:color w:val="000000"/>
          <w:sz w:val="20"/>
        </w:rPr>
        <w:t>The Company has incurred significant losses and negative cash flows from operations and had an accumulated deficit of $785.1</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as of March 31, 2026. The Company believes that its cash, cash equivalents and marketable securities as of March 31, 2026 are sufficient for the Company to fund planned operations for at least one year from the issuance date of these condensed financial statements. The Company has historically financed its operations primarily through the sale of equity securities, and to a lesser extent, from cash received pursuant to its collaboration and license agreements. To date, none of the Company’s product candidates have been approved for sale, and therefore, the Company has not generated any revenue from product sales. Management expects operating losses and negative cash flows from operations to continue for the foreseeable future. The Company plans to raise additional funding as required based on the status of its clinical trials and projected cash flows. There can be no assurance that, in the event the Company requires additional financing, such financing will be available on terms acceptable to the Company, if at all. Failure to generate sufficient cash flows from operations, raise additional capital and reduce discretionary spending should additional capital not become available could have a material adverse effect on the Company’s ability to achieve its business objectives.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2. Summary of Significant Accounting Policies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color w:val="000000"/>
          <w:sz w:val="20"/>
        </w:rPr>
        <w:t>Basis of Presentation</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accompanying condensed financial statements have been prepared in accordance with United States Generally Accepted Accounting Principles (“U.S. GAAP”) and the rules and regulations of the United States Securities and Exchange Commission (“SEC”) for interim reporting.</w:t>
      </w:r>
    </w:p>
    <w:p>
      <w:pPr>
        <w:pStyle w:val="TextBody"/>
        <w:bidi w:val="0"/>
        <w:spacing w:before="240" w:after="283"/>
        <w:jc w:val="both"/>
        <w:rPr>
          <w:rFonts w:ascii="Arial" w:hAnsi="Arial"/>
          <w:color w:val="000000"/>
          <w:sz w:val="20"/>
        </w:rPr>
      </w:pPr>
      <w:r>
        <w:rPr>
          <w:rFonts w:ascii="Arial" w:hAnsi="Arial"/>
          <w:color w:val="000000"/>
          <w:sz w:val="20"/>
        </w:rPr>
        <w:t>Certain information and note disclosures normally included in annual financial statements prepared in accordance with U.S. GAAP have been condensed or omitted. Accordingly, the condensed financial statements should be read in conjunction with the audited financial statements and the related notes thereto included in the Company’s Annual Report on Form 10-K for the year ended December 31, 2025 filed with the SEC.</w:t>
      </w:r>
    </w:p>
    <w:p>
      <w:pPr>
        <w:pStyle w:val="TextBody"/>
        <w:bidi w:val="0"/>
        <w:spacing w:before="240" w:after="283"/>
        <w:jc w:val="both"/>
        <w:rPr>
          <w:rFonts w:ascii="Times New Roman" w:hAnsi="Times New Roman"/>
          <w:sz w:val="20"/>
        </w:rPr>
      </w:pPr>
      <w:r>
        <w:rPr>
          <w:rFonts w:ascii="Arial" w:hAnsi="Arial"/>
          <w:color w:val="000000"/>
          <w:sz w:val="20"/>
        </w:rPr>
        <w:t>The accompanying financial information for the three months ended March 31, 2026 and 2025 is unaudited. The condensed financial statements have been prepared on the same basis as the annual audited financial statements and, in the opinion of management, reflect all adjustments, consisting of only normal recurring adjustments, necessary for a fair statement of the Company’s financial position as of</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March 31, 2026, and its results of operations and cash flows for the three months ended March 31, 2026 and 2025. The condensed balance sheet at December 31, 2025 was derived from audited annual financial statements but does not contain all of the footnote disclosures from the annual financial statements. The results for interim periods are not necessarily indicative of the results expected for the full fiscal year or any other periods.</w:t>
      </w:r>
    </w:p>
    <w:p>
      <w:pPr>
        <w:pStyle w:val="TextBody"/>
        <w:bidi w:val="0"/>
        <w:spacing w:before="240" w:after="283"/>
        <w:jc w:val="both"/>
        <w:rPr>
          <w:rFonts w:ascii="Arial" w:hAnsi="Arial"/>
          <w:b/>
          <w:color w:val="000000"/>
          <w:sz w:val="20"/>
        </w:rPr>
      </w:pPr>
      <w:r>
        <w:rPr>
          <w:rFonts w:ascii="Arial" w:hAnsi="Arial"/>
          <w:b/>
          <w:color w:val="000000"/>
          <w:sz w:val="20"/>
        </w:rPr>
        <w:t>Use of Estimates and Judgments</w:t>
      </w:r>
    </w:p>
    <w:p>
      <w:pPr>
        <w:pStyle w:val="TextBody"/>
        <w:bidi w:val="0"/>
        <w:spacing w:before="240" w:after="283"/>
        <w:jc w:val="both"/>
        <w:rPr>
          <w:rFonts w:ascii="Times New Roman" w:hAnsi="Times New Roman"/>
          <w:sz w:val="20"/>
        </w:rPr>
      </w:pPr>
      <w:r>
        <w:rPr>
          <w:rFonts w:ascii="Arial" w:hAnsi="Arial"/>
          <w:color w:val="000000"/>
          <w:sz w:val="20"/>
        </w:rPr>
        <w:t>The preparation of financial statements in conformity with U.S. GAAP requires management to make estimates and judgments that affect the reported amounts of assets, liabilities, revenue and expenses; and disclosure of contingent assets and liabilities as of the date of the financial statements. Such estimates include the determination of useful lives for property and equipment, the contract term, transaction price and costs of collaboration agreements, stock options and the derivative instrument and income tax uncertainties. Actual results could differ from those estimates.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Due to the war in Ukraine, conflicts in the Middle East, any expansion of these conflicts, rising interest rates, tariffs and inflation, natural disasters and health crises, such as pandemics, there has been uncertainty and disruption in the global economy and financial markets. The Company is not aware of any specific event or circumstance that would require an update to its estimates or judgments or a revision of the carrying value of its assets or liabilities as of March 31, 2026. While there was not a material impact to the Company’s condensed financial statements as of March 31, 2026, these estimates may change, as new events occur and additional information is obtained, as well as other factors that could result in material impacts to the condensed financial statements in future reporting periods.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color w:val="000000"/>
          <w:sz w:val="20"/>
        </w:rPr>
        <w:t>Segment Information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Company manages its business as one</w:t>
      </w:r>
      <w:r>
        <w:rPr>
          <w:rFonts w:ascii="Times New Roman" w:hAnsi="Times New Roman"/>
          <w:color w:val="000000"/>
          <w:sz w:val="20"/>
        </w:rPr>
        <w:t xml:space="preserve"> </w:t>
      </w:r>
      <w:r>
        <w:rPr>
          <w:rFonts w:ascii="Arial" w:hAnsi="Arial"/>
          <w:color w:val="000000"/>
          <w:sz w:val="20"/>
        </w:rPr>
        <w:t>segment which includes all activities related to the discovery, development, and commercialization of medicines for specific diseases. See Note 18, Segment Information, for financial information related to the Company's one</w:t>
      </w:r>
      <w:r>
        <w:rPr>
          <w:rFonts w:ascii="Times New Roman" w:hAnsi="Times New Roman"/>
          <w:color w:val="000000"/>
          <w:sz w:val="20"/>
        </w:rPr>
        <w:t xml:space="preserve"> </w:t>
      </w:r>
      <w:r>
        <w:rPr>
          <w:rFonts w:ascii="Arial" w:hAnsi="Arial"/>
          <w:color w:val="000000"/>
          <w:sz w:val="20"/>
        </w:rPr>
        <w:t>segment.</w:t>
      </w:r>
    </w:p>
    <w:p>
      <w:pPr>
        <w:pStyle w:val="TextBody"/>
        <w:bidi w:val="0"/>
        <w:spacing w:before="240" w:after="283"/>
        <w:jc w:val="both"/>
        <w:rPr>
          <w:rFonts w:ascii="Times New Roman" w:hAnsi="Times New Roman"/>
          <w:sz w:val="20"/>
        </w:rPr>
      </w:pPr>
      <w:r>
        <w:rPr>
          <w:rFonts w:ascii="Arial" w:hAnsi="Arial"/>
          <w:b/>
          <w:color w:val="000000"/>
          <w:sz w:val="20"/>
        </w:rPr>
        <w:t>Concentration of Credit Risk</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Financial instruments that potentially subject the Company to a concentration of credit risk consist of cash and cash equivalents, marketable securities and accounts receivable. The Company’s cash is held at two</w:t>
      </w:r>
      <w:r>
        <w:rPr>
          <w:rFonts w:ascii="Times New Roman" w:hAnsi="Times New Roman"/>
          <w:color w:val="000000"/>
          <w:sz w:val="20"/>
        </w:rPr>
        <w:t xml:space="preserve"> </w:t>
      </w:r>
      <w:r>
        <w:rPr>
          <w:rFonts w:ascii="Arial" w:hAnsi="Arial"/>
          <w:color w:val="000000"/>
          <w:sz w:val="20"/>
        </w:rPr>
        <w:t>financial institutions in the United States of America. The Company’s cash equivalents are invested in money market funds. The Company also invests in U.S. Treasuries, U.S. government sponsored agencies, commercial paper, corporate bonds and certificates of deposit. The Company has not experienced any losses on its deposits of cash and cash equivalents. Such deposits may, at times, exceed federally insured limits.</w:t>
      </w:r>
      <w:r>
        <w:rPr>
          <w:rFonts w:ascii="Times New Roman" w:hAnsi="Times New Roman"/>
          <w:color w:val="000000"/>
          <w:sz w:val="20"/>
        </w:rPr>
        <w:t xml:space="preserve"> </w:t>
      </w:r>
    </w:p>
    <w:p>
      <w:pPr>
        <w:pStyle w:val="TextBody"/>
        <w:bidi w:val="0"/>
        <w:spacing w:before="240" w:after="240"/>
        <w:jc w:val="left"/>
        <w:rPr>
          <w:rFonts w:ascii="Arial" w:hAnsi="Arial"/>
          <w:color w:val="000000"/>
          <w:sz w:val="20"/>
        </w:rPr>
      </w:pPr>
      <w:r>
        <w:rPr>
          <w:rFonts w:ascii="Arial" w:hAnsi="Arial"/>
          <w:color w:val="000000"/>
          <w:sz w:val="20"/>
        </w:rPr>
        <w:t>The Company’s partners in collaboration and license agreements who represent 10% or more of the Company’s total revenue are as follows:</w:t>
      </w:r>
    </w:p>
    <w:tbl>
      <w:tblPr>
        <w:tblW w:w="3161" w:type="dxa"/>
        <w:jc w:val="left"/>
        <w:tblInd w:w="0" w:type="dxa"/>
        <w:tblLayout w:type="fixed"/>
        <w:tblCellMar>
          <w:top w:w="28" w:type="dxa"/>
          <w:left w:w="28" w:type="dxa"/>
          <w:bottom w:w="28" w:type="dxa"/>
          <w:right w:w="28" w:type="dxa"/>
        </w:tblCellMar>
      </w:tblPr>
      <w:tblGrid>
        <w:gridCol w:w="1216"/>
        <w:gridCol w:w="146"/>
        <w:gridCol w:w="569"/>
        <w:gridCol w:w="167"/>
        <w:gridCol w:w="1063"/>
      </w:tblGrid>
      <w:tr>
        <w:trPr/>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9"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Customer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97%</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Customer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center"/>
              <w:rPr>
                <w:rFonts w:ascii="Arial" w:hAnsi="Arial"/>
                <w:color w:val="000000"/>
                <w:sz w:val="20"/>
              </w:rPr>
            </w:pPr>
            <w:r>
              <w:rPr>
                <w:rFonts w:ascii="Arial" w:hAnsi="Arial"/>
                <w:color w:val="000000"/>
                <w:sz w:val="20"/>
              </w:rPr>
              <w:t>100%</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97%</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100%</w:t>
            </w:r>
          </w:p>
        </w:tc>
      </w:tr>
    </w:tbl>
    <w:p>
      <w:pPr>
        <w:pStyle w:val="TextBody"/>
        <w:bidi w:val="0"/>
        <w:jc w:val="left"/>
        <w:rPr>
          <w:rFonts w:ascii="Arial" w:hAnsi="Arial"/>
          <w:color w:val="000000"/>
          <w:sz w:val="20"/>
        </w:rPr>
      </w:pPr>
      <w:r>
        <w:rPr>
          <w:rFonts w:ascii="Arial" w:hAnsi="Arial"/>
          <w:color w:val="000000"/>
          <w:sz w:val="20"/>
        </w:rPr>
        <w:t>______________</w:t>
      </w:r>
    </w:p>
    <w:p>
      <w:pPr>
        <w:pStyle w:val="TextBody"/>
        <w:bidi w:val="0"/>
        <w:jc w:val="left"/>
        <w:rPr>
          <w:rFonts w:ascii="Arial" w:hAnsi="Arial"/>
          <w:color w:val="000000"/>
          <w:sz w:val="20"/>
        </w:rPr>
      </w:pPr>
      <w:r>
        <w:rPr>
          <w:rFonts w:ascii="Arial" w:hAnsi="Arial"/>
          <w:color w:val="000000"/>
          <w:sz w:val="20"/>
        </w:rPr>
        <w:t>* Less than 10%</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As of March 31, 2026, the Company had $4.4</w:t>
      </w:r>
      <w:r>
        <w:rPr>
          <w:rFonts w:ascii="Times New Roman" w:hAnsi="Times New Roman"/>
          <w:color w:val="000000"/>
          <w:sz w:val="20"/>
        </w:rPr>
        <w:t xml:space="preserve"> </w:t>
      </w:r>
      <w:r>
        <w:rPr>
          <w:rFonts w:ascii="Arial" w:hAnsi="Arial"/>
          <w:color w:val="000000"/>
          <w:sz w:val="20"/>
        </w:rPr>
        <w:t>million due from Otsuka Pharmaceutical Co., Ltd. (“Otsuka”) related to the estimated cost sharing and reimbursement. The Company did not have accounts receivable from its other partner in collaboration and license agreements as of March 31, 2026 and December 31, 2025.</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Arial" w:hAnsi="Arial"/>
          <w:color w:val="000000"/>
          <w:sz w:val="20"/>
        </w:rPr>
        <w:t>The Company’s total revenues by geographic region, based on the location of the customer, are as follows (in thousands):</w:t>
      </w:r>
      <w:r>
        <w:rPr>
          <w:rFonts w:ascii="Times New Roman" w:hAnsi="Times New Roman"/>
          <w:color w:val="000000"/>
          <w:sz w:val="20"/>
        </w:rPr>
        <w:t xml:space="preserve"> </w:t>
      </w:r>
    </w:p>
    <w:tbl>
      <w:tblPr>
        <w:tblW w:w="3957" w:type="dxa"/>
        <w:jc w:val="left"/>
        <w:tblInd w:w="0" w:type="dxa"/>
        <w:tblLayout w:type="fixed"/>
        <w:tblCellMar>
          <w:top w:w="28" w:type="dxa"/>
          <w:left w:w="28" w:type="dxa"/>
          <w:bottom w:w="28" w:type="dxa"/>
          <w:right w:w="28" w:type="dxa"/>
        </w:tblCellMar>
      </w:tblPr>
      <w:tblGrid>
        <w:gridCol w:w="1586"/>
        <w:gridCol w:w="146"/>
        <w:gridCol w:w="225"/>
        <w:gridCol w:w="625"/>
        <w:gridCol w:w="155"/>
        <w:gridCol w:w="155"/>
        <w:gridCol w:w="225"/>
        <w:gridCol w:w="369"/>
        <w:gridCol w:w="471"/>
      </w:tblGrid>
      <w:tr>
        <w:trPr/>
        <w:tc>
          <w:tcPr>
            <w:tcW w:w="1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1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Japan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2,957</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158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3,047</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Arial" w:hAnsi="Arial"/>
          <w:b/>
          <w:color w:val="000000"/>
          <w:sz w:val="20"/>
        </w:rPr>
        <w:t>Other Risks and Uncertainties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Company is subject to risks and uncertainties common to late clinical-stage companies in the biotechnology industry, including, but not limited to, development by competitors of new technological innovations, protection of proprietary technology, dependence on key personnel, suppliers for key raw materials, contract development and manufacturing organizations (“CDMOs”) and contract research organizations (“CROs”), compliance with government regulations and the need to obtain additional financing to fund operations. Product candidates currently under development will require significant additional research and development efforts, including extensive preclinical studies, clinical trials and regulatory approval, prior to commercialization. These efforts require significant amounts of additional capital, adequate personnel and infrastructure and extensive compliance and reporting.</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other pharmaceutical and biotechnology companies. In addition, the Company is dependent upon the services of its employees, consultants and other third parties (including for clinical trials and some aspects of research and preclinical testing).</w:t>
      </w:r>
    </w:p>
    <w:p>
      <w:pPr>
        <w:pStyle w:val="TextBody"/>
        <w:bidi w:val="0"/>
        <w:spacing w:before="240" w:after="283"/>
        <w:jc w:val="both"/>
        <w:rPr>
          <w:rFonts w:ascii="Arial" w:hAnsi="Arial"/>
          <w:b/>
          <w:color w:val="000000"/>
          <w:sz w:val="20"/>
        </w:rPr>
      </w:pPr>
      <w:r>
        <w:rPr>
          <w:rFonts w:ascii="Arial" w:hAnsi="Arial"/>
          <w:b/>
          <w:color w:val="000000"/>
          <w:sz w:val="20"/>
        </w:rPr>
        <w:t>Recently Issued Accounting Pronouncements Not Yet Adopted</w:t>
      </w:r>
    </w:p>
    <w:p>
      <w:pPr>
        <w:pStyle w:val="TextBody"/>
        <w:bidi w:val="0"/>
        <w:spacing w:before="240" w:after="283"/>
        <w:jc w:val="both"/>
        <w:rPr>
          <w:rFonts w:ascii="Times New Roman" w:hAnsi="Times New Roman"/>
          <w:sz w:val="20"/>
        </w:rPr>
      </w:pPr>
      <w:r>
        <w:rPr>
          <w:rFonts w:ascii="Arial" w:hAnsi="Arial"/>
          <w:color w:val="222222"/>
          <w:sz w:val="20"/>
        </w:rPr>
        <w:t xml:space="preserve">In November 2024, the </w:t>
      </w:r>
      <w:r>
        <w:rPr>
          <w:rFonts w:ascii="Arial" w:hAnsi="Arial"/>
          <w:color w:val="000000"/>
          <w:sz w:val="20"/>
        </w:rPr>
        <w:t>Financial Accounting Standards Board</w:t>
      </w:r>
      <w:r>
        <w:rPr>
          <w:rFonts w:ascii="Times New Roman" w:hAnsi="Times New Roman"/>
          <w:color w:val="222222"/>
          <w:sz w:val="20"/>
        </w:rPr>
        <w:t xml:space="preserve"> </w:t>
      </w:r>
      <w:r>
        <w:rPr>
          <w:rFonts w:ascii="Arial" w:hAnsi="Arial"/>
          <w:color w:val="222222"/>
          <w:sz w:val="20"/>
        </w:rPr>
        <w:t xml:space="preserve">issued Accounting Standards Update ("ASU") No. 2024-03, </w:t>
      </w:r>
      <w:r>
        <w:rPr>
          <w:rFonts w:ascii="Arial" w:hAnsi="Arial"/>
          <w:i/>
          <w:color w:val="222222"/>
          <w:sz w:val="20"/>
        </w:rPr>
        <w:t>Income Statement - Reporting Comprehensive Income - Expense Disaggregation Disclosures (Topic 220) - Disaggregation of Income Statement Expenses</w:t>
      </w:r>
      <w:r>
        <w:rPr>
          <w:rFonts w:ascii="Arial" w:hAnsi="Arial"/>
          <w:color w:val="222222"/>
          <w:sz w:val="20"/>
        </w:rPr>
        <w:t>. ASU 2024-03 requires public business entities to disclose, on an annual and interim basis, disaggregated information about certain income statement expense line items in the notes to the financial statements. ASU 2024-03 is effective for fiscal years beginning after December 15, 2026 (fiscal 2027) and interim periods within fiscal years beginning after December 15, 2027 (fiscal 2028). The ASU must be applied prospectively and may be applied retrospectively if elected. The Company is currently evaluating the effect of adopting this new accounting guidance.</w:t>
      </w:r>
      <w:r>
        <w:rPr>
          <w:rFonts w:ascii="Times New Roman" w:hAnsi="Times New Roman"/>
          <w:color w:val="222222"/>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Arial" w:hAnsi="Arial"/>
          <w:b/>
          <w:i/>
          <w:color w:val="000000"/>
          <w:sz w:val="20"/>
        </w:rPr>
      </w:pPr>
      <w:r>
        <w:rPr>
          <w:rFonts w:ascii="Arial" w:hAnsi="Arial"/>
          <w:b/>
          <w:i/>
          <w:color w:val="000000"/>
          <w:sz w:val="20"/>
        </w:rPr>
        <w:t>3. Fair Value Measurements and Marketable Securities</w:t>
      </w:r>
    </w:p>
    <w:p>
      <w:pPr>
        <w:pStyle w:val="TextBody"/>
        <w:bidi w:val="0"/>
        <w:spacing w:before="0" w:after="240"/>
        <w:jc w:val="both"/>
        <w:rPr>
          <w:rFonts w:ascii="Times New Roman" w:hAnsi="Times New Roman"/>
          <w:sz w:val="20"/>
        </w:rPr>
      </w:pPr>
      <w:r>
        <w:rPr>
          <w:rFonts w:ascii="Arial" w:hAnsi="Arial"/>
          <w:color w:val="000000"/>
          <w:sz w:val="20"/>
        </w:rPr>
        <w:t>The following tables represent the Company’s fair value hierarchy for financial assets and financial liabilities measured at fair value on a recurring basis (in thousands):</w:t>
      </w:r>
      <w:r>
        <w:rPr>
          <w:rFonts w:ascii="Times New Roman" w:hAnsi="Times New Roman"/>
          <w:color w:val="000000"/>
          <w:sz w:val="20"/>
        </w:rPr>
        <w:t xml:space="preserve"> </w:t>
      </w:r>
    </w:p>
    <w:tbl>
      <w:tblPr>
        <w:tblW w:w="10573" w:type="dxa"/>
        <w:jc w:val="left"/>
        <w:tblInd w:w="0" w:type="dxa"/>
        <w:tblLayout w:type="fixed"/>
        <w:tblCellMar>
          <w:top w:w="28" w:type="dxa"/>
          <w:left w:w="28" w:type="dxa"/>
          <w:bottom w:w="28" w:type="dxa"/>
          <w:right w:w="28" w:type="dxa"/>
        </w:tblCellMar>
      </w:tblPr>
      <w:tblGrid>
        <w:gridCol w:w="1261"/>
        <w:gridCol w:w="146"/>
        <w:gridCol w:w="205"/>
        <w:gridCol w:w="726"/>
        <w:gridCol w:w="146"/>
        <w:gridCol w:w="146"/>
        <w:gridCol w:w="324"/>
        <w:gridCol w:w="622"/>
        <w:gridCol w:w="146"/>
        <w:gridCol w:w="146"/>
        <w:gridCol w:w="293"/>
        <w:gridCol w:w="653"/>
        <w:gridCol w:w="166"/>
        <w:gridCol w:w="146"/>
        <w:gridCol w:w="196"/>
        <w:gridCol w:w="691"/>
        <w:gridCol w:w="146"/>
        <w:gridCol w:w="146"/>
        <w:gridCol w:w="254"/>
        <w:gridCol w:w="782"/>
        <w:gridCol w:w="146"/>
        <w:gridCol w:w="146"/>
        <w:gridCol w:w="212"/>
        <w:gridCol w:w="749"/>
        <w:gridCol w:w="146"/>
        <w:gridCol w:w="146"/>
        <w:gridCol w:w="269"/>
        <w:gridCol w:w="827"/>
        <w:gridCol w:w="59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Amortized 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 as of 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Cash and Cash Equivalents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Current Marketable Securities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Non-Current Marketable Securities</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u w:val="single"/>
              </w:rPr>
            </w:pPr>
            <w:r>
              <w:rPr>
                <w:rFonts w:ascii="Arial" w:hAnsi="Arial"/>
                <w:b/>
                <w:color w:val="000000"/>
                <w:sz w:val="16"/>
                <w:u w:val="single"/>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14,854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14,854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14,854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57,634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57,634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57,634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Certificates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29,058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29,064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29,064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42,719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42,688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42,688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U.S. Treasuries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72,792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72,768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22,368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240,754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240,623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196,252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44,371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Subtotal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385,323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385,143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318,404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66,739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457,811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457,631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72,488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318,404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66,739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pPr>
      <w:r>
        <w:rPr/>
        <w:t> </w:t>
      </w:r>
    </w:p>
    <w:tbl>
      <w:tblPr>
        <w:tblW w:w="10587" w:type="dxa"/>
        <w:jc w:val="left"/>
        <w:tblInd w:w="0" w:type="dxa"/>
        <w:tblLayout w:type="fixed"/>
        <w:tblCellMar>
          <w:top w:w="28" w:type="dxa"/>
          <w:left w:w="28" w:type="dxa"/>
          <w:bottom w:w="28" w:type="dxa"/>
          <w:right w:w="28" w:type="dxa"/>
        </w:tblCellMar>
      </w:tblPr>
      <w:tblGrid>
        <w:gridCol w:w="1261"/>
        <w:gridCol w:w="146"/>
        <w:gridCol w:w="205"/>
        <w:gridCol w:w="726"/>
        <w:gridCol w:w="146"/>
        <w:gridCol w:w="146"/>
        <w:gridCol w:w="324"/>
        <w:gridCol w:w="622"/>
        <w:gridCol w:w="146"/>
        <w:gridCol w:w="146"/>
        <w:gridCol w:w="342"/>
        <w:gridCol w:w="604"/>
        <w:gridCol w:w="166"/>
        <w:gridCol w:w="146"/>
        <w:gridCol w:w="199"/>
        <w:gridCol w:w="702"/>
        <w:gridCol w:w="146"/>
        <w:gridCol w:w="146"/>
        <w:gridCol w:w="254"/>
        <w:gridCol w:w="782"/>
        <w:gridCol w:w="146"/>
        <w:gridCol w:w="146"/>
        <w:gridCol w:w="212"/>
        <w:gridCol w:w="749"/>
        <w:gridCol w:w="146"/>
        <w:gridCol w:w="146"/>
        <w:gridCol w:w="242"/>
        <w:gridCol w:w="854"/>
        <w:gridCol w:w="59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Amortized 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 as of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Cash and Cash Equivalents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Current Marketable Securities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Non-Current Marketable Securities</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u w:val="single"/>
              </w:rPr>
            </w:pPr>
            <w:r>
              <w:rPr>
                <w:rFonts w:ascii="Arial" w:hAnsi="Arial"/>
                <w:b/>
                <w:color w:val="000000"/>
                <w:sz w:val="16"/>
                <w:u w:val="single"/>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39,570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39,570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39,570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Certificates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35,986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63,875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63,923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58,444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U.S. Treasuries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76,920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77,073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63,589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13,484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286,260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286,749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184,358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97,895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Subtotal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463,041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463,768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9,975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342,414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111,379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513,307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514,034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60,241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342,414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111,379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There are no</w:t>
      </w:r>
      <w:r>
        <w:rPr>
          <w:rFonts w:ascii="Times New Roman" w:hAnsi="Times New Roman"/>
          <w:color w:val="000000"/>
          <w:sz w:val="20"/>
        </w:rPr>
        <w:t xml:space="preserve"> </w:t>
      </w:r>
      <w:r>
        <w:rPr>
          <w:rFonts w:ascii="Arial" w:hAnsi="Arial"/>
          <w:color w:val="000000"/>
          <w:sz w:val="20"/>
        </w:rPr>
        <w:t>Level 3 assets</w:t>
      </w:r>
      <w:r>
        <w:rPr>
          <w:rFonts w:ascii="Times New Roman" w:hAnsi="Times New Roman"/>
          <w:color w:val="000000"/>
          <w:sz w:val="20"/>
        </w:rPr>
        <w:t xml:space="preserve"> </w:t>
      </w:r>
      <w:r>
        <w:rPr>
          <w:rFonts w:ascii="Arial" w:hAnsi="Arial"/>
          <w:color w:val="000000"/>
          <w:sz w:val="20"/>
        </w:rPr>
        <w:t>and</w:t>
      </w:r>
      <w:r>
        <w:rPr>
          <w:rFonts w:ascii="Times New Roman" w:hAnsi="Times New Roman"/>
          <w:color w:val="000000"/>
          <w:sz w:val="20"/>
        </w:rPr>
        <w:t xml:space="preserve"> </w:t>
      </w:r>
      <w:r>
        <w:rPr>
          <w:rFonts w:ascii="Arial" w:hAnsi="Arial"/>
          <w:color w:val="000000"/>
          <w:sz w:val="20"/>
        </w:rPr>
        <w:t>no</w:t>
      </w:r>
      <w:r>
        <w:rPr>
          <w:rFonts w:ascii="Times New Roman" w:hAnsi="Times New Roman"/>
          <w:color w:val="000000"/>
          <w:sz w:val="20"/>
        </w:rPr>
        <w:t xml:space="preserve"> </w:t>
      </w:r>
      <w:r>
        <w:rPr>
          <w:rFonts w:ascii="Arial" w:hAnsi="Arial"/>
          <w:color w:val="000000"/>
          <w:sz w:val="20"/>
        </w:rPr>
        <w:t>Level 1 or 2 liabilities.</w:t>
      </w:r>
    </w:p>
    <w:p>
      <w:pPr>
        <w:pStyle w:val="TextBody"/>
        <w:bidi w:val="0"/>
        <w:spacing w:before="240" w:after="283"/>
        <w:jc w:val="both"/>
        <w:rPr>
          <w:rFonts w:ascii="Times New Roman" w:hAnsi="Times New Roman"/>
          <w:sz w:val="20"/>
        </w:rPr>
      </w:pPr>
      <w:r>
        <w:rPr>
          <w:rFonts w:ascii="Arial" w:hAnsi="Arial"/>
          <w:b/>
          <w:color w:val="000000"/>
          <w:sz w:val="20"/>
        </w:rPr>
        <w:t>Level 3 Inputs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The fair value of the derivative liability is based on significant inputs not observable in the market, which represent a Level 3 measurement within the fair value hierarchy. The fair value of the derivative liability was determined using a present value analysis with multiple scenarios. In determining the fair value of the derivative liability, the inputs impacting fair value include the change of control payment to Cystic Fibrosis Foundation, the probability of a change of control event, the product status at time of a change of control event and the discount rate. See Note 15, Derivative Liability, for further discussion on the embedded derivative.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There were no</w:t>
      </w:r>
      <w:r>
        <w:rPr>
          <w:rFonts w:ascii="Times New Roman" w:hAnsi="Times New Roman"/>
          <w:color w:val="000000"/>
          <w:sz w:val="20"/>
        </w:rPr>
        <w:t xml:space="preserve"> </w:t>
      </w:r>
      <w:r>
        <w:rPr>
          <w:rFonts w:ascii="Arial" w:hAnsi="Arial"/>
          <w:color w:val="000000"/>
          <w:sz w:val="20"/>
        </w:rPr>
        <w:t>transfers between Level 1, 2 and 3 for assets or liabilities during the periods presented.</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Arial" w:hAnsi="Arial"/>
          <w:color w:val="000000"/>
          <w:sz w:val="20"/>
        </w:rPr>
      </w:pPr>
      <w:r>
        <w:rPr>
          <w:rFonts w:ascii="Arial" w:hAnsi="Arial"/>
          <w:color w:val="000000"/>
          <w:sz w:val="20"/>
        </w:rPr>
        <w:t>The following table sets forth a summary of the changes in the fair value of the Company's Level 3 financial instrument (in thousands):</w:t>
      </w:r>
    </w:p>
    <w:tbl>
      <w:tblPr>
        <w:tblW w:w="4949" w:type="dxa"/>
        <w:jc w:val="left"/>
        <w:tblInd w:w="0" w:type="dxa"/>
        <w:tblLayout w:type="fixed"/>
        <w:tblCellMar>
          <w:top w:w="28" w:type="dxa"/>
          <w:left w:w="28" w:type="dxa"/>
          <w:bottom w:w="28" w:type="dxa"/>
          <w:right w:w="28" w:type="dxa"/>
        </w:tblCellMar>
      </w:tblPr>
      <w:tblGrid>
        <w:gridCol w:w="3166"/>
        <w:gridCol w:w="426"/>
        <w:gridCol w:w="295"/>
        <w:gridCol w:w="591"/>
        <w:gridCol w:w="471"/>
      </w:tblGrid>
      <w:tr>
        <w:trPr/>
        <w:tc>
          <w:tcPr>
            <w:tcW w:w="316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Derivative</w:t>
              <w:br/>
              <w:t>Liability</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Balance as of December 31, 2025</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358</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Change in fair value</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Balance as of March 31, 2026</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370</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color w:val="000000"/>
          <w:sz w:val="20"/>
        </w:rPr>
      </w:pPr>
      <w:r>
        <w:rPr>
          <w:rFonts w:ascii="Arial" w:hAnsi="Arial"/>
          <w:color w:val="000000"/>
          <w:sz w:val="20"/>
        </w:rPr>
        <w:t>The change in fair value above is included in other income (expense), net, in the Company's condensed statements of operations.</w:t>
      </w:r>
    </w:p>
    <w:p>
      <w:pPr>
        <w:pStyle w:val="TextBody"/>
        <w:bidi w:val="0"/>
        <w:spacing w:before="240" w:after="283"/>
        <w:jc w:val="both"/>
        <w:rPr>
          <w:rFonts w:ascii="Times New Roman" w:hAnsi="Times New Roman"/>
          <w:sz w:val="20"/>
        </w:rPr>
      </w:pPr>
      <w:r>
        <w:rPr>
          <w:rFonts w:ascii="Arial" w:hAnsi="Arial"/>
          <w:color w:val="000000"/>
          <w:sz w:val="20"/>
        </w:rPr>
        <w:t>All marketable securities held as of March 31, 2026 had contractual maturities of less than two years. There have been no</w:t>
      </w:r>
      <w:r>
        <w:rPr>
          <w:rFonts w:ascii="Times New Roman" w:hAnsi="Times New Roman"/>
          <w:color w:val="000000"/>
          <w:sz w:val="20"/>
        </w:rPr>
        <w:t xml:space="preserve"> </w:t>
      </w:r>
      <w:r>
        <w:rPr>
          <w:rFonts w:ascii="Arial" w:hAnsi="Arial"/>
          <w:color w:val="000000"/>
          <w:sz w:val="20"/>
        </w:rPr>
        <w:t>material realized gains or losses on marketable securities for the periods presented.</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Aggregate fair values of marketable securities with unrealized losses and gains were as follows as of March 31, 2026 and December 31, 2025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59"/>
        <w:gridCol w:w="146"/>
        <w:gridCol w:w="211"/>
        <w:gridCol w:w="796"/>
        <w:gridCol w:w="146"/>
        <w:gridCol w:w="146"/>
        <w:gridCol w:w="236"/>
        <w:gridCol w:w="892"/>
        <w:gridCol w:w="473"/>
      </w:tblGrid>
      <w:tr>
        <w:trPr/>
        <w:tc>
          <w:tcPr>
            <w:tcW w:w="71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2025</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5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Aggregate fair value of marketable securities in a continuous loss position for less than twelve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15,449</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Aggregate fair value of marketable securities in a continuous loss position for more than twelve months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1,951</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Aggregate fair value of marketable securities in unrealized gain position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166,793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446,368</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385,143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463,768</w:t>
            </w:r>
          </w:p>
        </w:tc>
        <w:tc>
          <w:tcPr>
            <w:tcW w:w="4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Arial" w:hAnsi="Arial"/>
          <w:color w:val="000000"/>
          <w:sz w:val="20"/>
        </w:rPr>
        <w:t>The Company manages credit risk associated with its investment portfolio through its investment policy, which limits purchases to high-quality issuers and also limits the amount of its portfolio that can be invested in a single issuer. The Company did not record an allowance for credit losses or other impairment charges related to its marketable securities for any period presented. The Company has determined that (i) it does not have the intent to sell any of these investments, and (ii) it is not more likely than not that it will be required to sell any of these investments before recovery of the entire amortized cost basis. The Company further considered the maximum unrealized loss amounts both at the individual instrument level,</w:t>
      </w:r>
      <w:r>
        <w:rPr>
          <w:rFonts w:ascii="Times New Roman" w:hAnsi="Times New Roman"/>
          <w:color w:val="000000"/>
          <w:sz w:val="20"/>
        </w:rPr>
        <w:t xml:space="preserve"> </w:t>
      </w:r>
      <w:r>
        <w:rPr>
          <w:rFonts w:ascii="Arial" w:hAnsi="Arial"/>
          <w:color w:val="000000"/>
          <w:sz w:val="20"/>
        </w:rPr>
        <w:t>$22</w:t>
      </w:r>
      <w:r>
        <w:rPr>
          <w:rFonts w:ascii="Times New Roman" w:hAnsi="Times New Roman"/>
          <w:color w:val="000000"/>
          <w:sz w:val="20"/>
        </w:rPr>
        <w:t xml:space="preserve"> </w:t>
      </w:r>
      <w:r>
        <w:rPr>
          <w:rFonts w:ascii="Arial" w:hAnsi="Arial"/>
          <w:color w:val="000000"/>
          <w:sz w:val="20"/>
        </w:rPr>
        <w:t>thousand, as well as in aggregate, $351</w:t>
      </w:r>
      <w:r>
        <w:rPr>
          <w:rFonts w:ascii="Times New Roman" w:hAnsi="Times New Roman"/>
          <w:color w:val="000000"/>
          <w:sz w:val="20"/>
        </w:rPr>
        <w:t xml:space="preserve"> </w:t>
      </w:r>
      <w:r>
        <w:rPr>
          <w:rFonts w:ascii="Arial" w:hAnsi="Arial"/>
          <w:color w:val="000000"/>
          <w:sz w:val="20"/>
        </w:rPr>
        <w:t>thousand,</w:t>
      </w:r>
      <w:r>
        <w:rPr>
          <w:rFonts w:ascii="Times New Roman" w:hAnsi="Times New Roman"/>
          <w:color w:val="000000"/>
          <w:sz w:val="20"/>
        </w:rPr>
        <w:t xml:space="preserve"> </w:t>
      </w:r>
      <w:r>
        <w:rPr>
          <w:rFonts w:ascii="Arial" w:hAnsi="Arial"/>
          <w:color w:val="000000"/>
          <w:sz w:val="20"/>
        </w:rPr>
        <w:t>as of March 31, 2026, as immaterial. These unrealized losses were not attributed to credit risk and were associated with changes in market conditions. The Company periodically reviews its marketable securities for indications of credit losses.</w:t>
      </w:r>
      <w:r>
        <w:rPr>
          <w:rFonts w:ascii="Times New Roman" w:hAnsi="Times New Roman"/>
          <w:color w:val="000000"/>
          <w:sz w:val="20"/>
        </w:rPr>
        <w:t xml:space="preserve"> </w:t>
      </w:r>
      <w:r>
        <w:rPr>
          <w:rFonts w:ascii="Arial" w:hAnsi="Arial"/>
          <w:color w:val="000000"/>
          <w:sz w:val="20"/>
        </w:rPr>
        <w:t>The Company anticipates that it will recover the entire amortized cost basis of such securities, and therefore, no</w:t>
      </w:r>
      <w:r>
        <w:rPr>
          <w:rFonts w:ascii="Times New Roman" w:hAnsi="Times New Roman"/>
          <w:color w:val="000000"/>
          <w:sz w:val="20"/>
        </w:rPr>
        <w:t xml:space="preserve"> </w:t>
      </w:r>
      <w:r>
        <w:rPr>
          <w:rFonts w:ascii="Arial" w:hAnsi="Arial"/>
          <w:color w:val="000000"/>
          <w:sz w:val="20"/>
        </w:rPr>
        <w:t>credit loss existed as of March 31, 2026.</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4. Property and Equipment, Net</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Property and equipment, net, consisted of the following (in thousands):</w:t>
      </w:r>
      <w:r>
        <w:rPr>
          <w:rFonts w:ascii="Times New Roman" w:hAnsi="Times New Roman"/>
          <w:color w:val="000000"/>
          <w:sz w:val="20"/>
        </w:rPr>
        <w:t xml:space="preserve"> </w:t>
      </w:r>
    </w:p>
    <w:p>
      <w:pPr>
        <w:pStyle w:val="TextBody"/>
        <w:bidi w:val="0"/>
        <w:jc w:val="left"/>
        <w:rPr/>
      </w:pPr>
      <w:r>
        <w:rPr/>
        <w:t> </w:t>
      </w:r>
    </w:p>
    <w:tbl>
      <w:tblPr>
        <w:tblW w:w="8052" w:type="dxa"/>
        <w:jc w:val="left"/>
        <w:tblInd w:w="0" w:type="dxa"/>
        <w:tblLayout w:type="fixed"/>
        <w:tblCellMar>
          <w:top w:w="28" w:type="dxa"/>
          <w:left w:w="28" w:type="dxa"/>
          <w:bottom w:w="28" w:type="dxa"/>
          <w:right w:w="28" w:type="dxa"/>
        </w:tblCellMar>
      </w:tblPr>
      <w:tblGrid>
        <w:gridCol w:w="4691"/>
        <w:gridCol w:w="146"/>
        <w:gridCol w:w="211"/>
        <w:gridCol w:w="751"/>
        <w:gridCol w:w="166"/>
        <w:gridCol w:w="146"/>
        <w:gridCol w:w="256"/>
        <w:gridCol w:w="914"/>
        <w:gridCol w:w="771"/>
      </w:tblGrid>
      <w:tr>
        <w:trPr/>
        <w:tc>
          <w:tcPr>
            <w:tcW w:w="4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2025</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Machinery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14,528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14,538</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18,467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18,467</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1,086</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Office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324</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Computer equipment and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1,685</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Transportation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36,146</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Less: 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(22,549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(21,279</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469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14,867</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All property and equipment are maintained in the United States. Depreciation expense was $1.3</w:t>
      </w:r>
      <w:r>
        <w:rPr>
          <w:rFonts w:ascii="Times New Roman" w:hAnsi="Times New Roman"/>
          <w:color w:val="000000"/>
          <w:sz w:val="20"/>
        </w:rPr>
        <w:t xml:space="preserve"> </w:t>
      </w:r>
      <w:r>
        <w:rPr>
          <w:rFonts w:ascii="Arial" w:hAnsi="Arial"/>
          <w:color w:val="000000"/>
          <w:sz w:val="20"/>
        </w:rPr>
        <w:t>million for each of the three months ended March 31, 2026 and</w:t>
      </w:r>
      <w:r>
        <w:rPr>
          <w:rFonts w:ascii="Times New Roman" w:hAnsi="Times New Roman"/>
          <w:color w:val="000000"/>
          <w:sz w:val="20"/>
        </w:rPr>
        <w:t xml:space="preserve"> </w:t>
      </w:r>
      <w:r>
        <w:rPr>
          <w:rFonts w:ascii="Arial" w:hAnsi="Arial"/>
          <w:color w:val="000000"/>
          <w:sz w:val="20"/>
        </w:rPr>
        <w:t>2025.</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5. Accrued and Other Current Liabilities</w:t>
      </w:r>
    </w:p>
    <w:p>
      <w:pPr>
        <w:pStyle w:val="TextBody"/>
        <w:bidi w:val="0"/>
        <w:spacing w:before="120" w:after="283"/>
        <w:jc w:val="both"/>
        <w:rPr>
          <w:rFonts w:ascii="Times New Roman" w:hAnsi="Times New Roman"/>
          <w:sz w:val="20"/>
        </w:rPr>
      </w:pPr>
      <w:r>
        <w:rPr>
          <w:rFonts w:ascii="Arial" w:hAnsi="Arial"/>
          <w:color w:val="000000"/>
          <w:sz w:val="20"/>
        </w:rPr>
        <w:t>Accrued and other current liabilities consisted of the following (in thousands):</w:t>
      </w:r>
      <w:r>
        <w:rPr>
          <w:rFonts w:ascii="Times New Roman" w:hAnsi="Times New Roman"/>
          <w:color w:val="000000"/>
          <w:sz w:val="20"/>
        </w:rPr>
        <w:t xml:space="preserve"> </w:t>
      </w:r>
    </w:p>
    <w:p>
      <w:pPr>
        <w:pStyle w:val="TextBody"/>
        <w:bidi w:val="0"/>
        <w:jc w:val="both"/>
        <w:rPr/>
      </w:pPr>
      <w:r>
        <w:rPr/>
        <w:t> </w:t>
      </w:r>
    </w:p>
    <w:tbl>
      <w:tblPr>
        <w:tblW w:w="6727" w:type="dxa"/>
        <w:jc w:val="left"/>
        <w:tblInd w:w="0" w:type="dxa"/>
        <w:tblLayout w:type="fixed"/>
        <w:tblCellMar>
          <w:top w:w="28" w:type="dxa"/>
          <w:left w:w="28" w:type="dxa"/>
          <w:bottom w:w="28" w:type="dxa"/>
          <w:right w:w="28" w:type="dxa"/>
        </w:tblCellMar>
      </w:tblPr>
      <w:tblGrid>
        <w:gridCol w:w="3886"/>
        <w:gridCol w:w="146"/>
        <w:gridCol w:w="211"/>
        <w:gridCol w:w="691"/>
        <w:gridCol w:w="146"/>
        <w:gridCol w:w="146"/>
        <w:gridCol w:w="273"/>
        <w:gridCol w:w="897"/>
        <w:gridCol w:w="33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Payroll and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13,806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clinical and preclinical study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10,273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Consulting and outside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2,666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Total accrued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22,866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26,874</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b/>
          <w:i/>
          <w:color w:val="000000"/>
          <w:sz w:val="20"/>
        </w:rPr>
        <w:t>6. Research and Collaboration Arrangements</w:t>
      </w:r>
      <w:r>
        <w:rPr>
          <w:rFonts w:ascii="Times New Roman" w:hAnsi="Times New Roman"/>
          <w:color w:val="000000"/>
          <w:sz w:val="20"/>
        </w:rPr>
        <w:t xml:space="preserve"> </w:t>
      </w:r>
    </w:p>
    <w:p>
      <w:pPr>
        <w:pStyle w:val="TextBody"/>
        <w:bidi w:val="0"/>
        <w:spacing w:before="120" w:after="240"/>
        <w:jc w:val="left"/>
        <w:rPr>
          <w:rFonts w:ascii="Times New Roman" w:hAnsi="Times New Roman"/>
          <w:sz w:val="20"/>
        </w:rPr>
      </w:pPr>
      <w:r>
        <w:rPr>
          <w:rFonts w:ascii="Arial" w:hAnsi="Arial"/>
          <w:color w:val="000000"/>
          <w:sz w:val="20"/>
        </w:rPr>
        <w:t>Collaboration and license revenue for each period was as follows (in thousands):</w:t>
      </w:r>
      <w:r>
        <w:rPr>
          <w:rFonts w:ascii="Times New Roman" w:hAnsi="Times New Roman"/>
          <w:color w:val="000000"/>
          <w:sz w:val="20"/>
        </w:rPr>
        <w:t xml:space="preserve"> </w:t>
      </w:r>
    </w:p>
    <w:tbl>
      <w:tblPr>
        <w:tblW w:w="5998" w:type="dxa"/>
        <w:jc w:val="left"/>
        <w:tblInd w:w="0" w:type="dxa"/>
        <w:tblLayout w:type="fixed"/>
        <w:tblCellMar>
          <w:top w:w="28" w:type="dxa"/>
          <w:left w:w="28" w:type="dxa"/>
          <w:bottom w:w="28" w:type="dxa"/>
          <w:right w:w="28" w:type="dxa"/>
        </w:tblCellMar>
      </w:tblPr>
      <w:tblGrid>
        <w:gridCol w:w="2971"/>
        <w:gridCol w:w="146"/>
        <w:gridCol w:w="327"/>
        <w:gridCol w:w="908"/>
        <w:gridCol w:w="226"/>
        <w:gridCol w:w="226"/>
        <w:gridCol w:w="327"/>
        <w:gridCol w:w="536"/>
        <w:gridCol w:w="33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Otsuka Pharmaceutical Co.,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2,957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Cystic Fibrosis Foundation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3,047</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Deferred revenue is summarized as follows (in thousands):</w:t>
      </w:r>
    </w:p>
    <w:tbl>
      <w:tblPr>
        <w:tblW w:w="5765" w:type="dxa"/>
        <w:jc w:val="left"/>
        <w:tblInd w:w="0" w:type="dxa"/>
        <w:tblLayout w:type="fixed"/>
        <w:tblCellMar>
          <w:top w:w="28" w:type="dxa"/>
          <w:left w:w="28" w:type="dxa"/>
          <w:bottom w:w="28" w:type="dxa"/>
          <w:right w:w="28" w:type="dxa"/>
        </w:tblCellMar>
      </w:tblPr>
      <w:tblGrid>
        <w:gridCol w:w="2971"/>
        <w:gridCol w:w="146"/>
        <w:gridCol w:w="226"/>
        <w:gridCol w:w="629"/>
        <w:gridCol w:w="146"/>
        <w:gridCol w:w="146"/>
        <w:gridCol w:w="309"/>
        <w:gridCol w:w="861"/>
        <w:gridCol w:w="33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Otsuka Pharmaceutical Co.,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Cystic Fibrosis Foundation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Total 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1,105</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color w:val="000000"/>
          <w:sz w:val="20"/>
        </w:rPr>
      </w:pPr>
      <w:r>
        <w:rPr>
          <w:rFonts w:ascii="Arial" w:hAnsi="Arial"/>
          <w:color w:val="000000"/>
          <w:sz w:val="20"/>
        </w:rPr>
        <w:t>An immaterial amount of revenues have been recorded during the three months ended March 31, 2026 and 2025 which was included in deferred revenue at January 1, 2026 and 2025, respectively, for Cystic Fibrosis Foundation.</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color w:val="000000"/>
          <w:sz w:val="20"/>
        </w:rPr>
        <w:t>Cystic Fibrosis Foundation (“CFF”)</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September 2016, the Company entered into an award agreement for the Optimized Adeno-Associated Virus for Lung Epithelia Gene Delivery Development Program with CFF, a non-profit organization dedicated to finding a cure for cystic fibrosis, an inherited disorder that causes disease in the pulmonary airways leading to morbidity and mortality. Under this agreement, CFF contributes funding to help advance the Company’s cystic fibrosis research program. The September 2016 grant award agreement was incorporated into a new grant award agreement with CFF in September 2017 with the same objectives, which was subsequently amended in August 2018 and February 2021. In August 2023, the Company executed a third amendment to the agreement (the “August 2023 Amendment”), which modified the research plan, increased the aggregate milestone payments from $3.5</w:t>
      </w:r>
      <w:r>
        <w:rPr>
          <w:rFonts w:ascii="Times New Roman" w:hAnsi="Times New Roman"/>
          <w:color w:val="000000"/>
          <w:sz w:val="20"/>
        </w:rPr>
        <w:t xml:space="preserve"> </w:t>
      </w:r>
      <w:r>
        <w:rPr>
          <w:rFonts w:ascii="Arial" w:hAnsi="Arial"/>
          <w:color w:val="000000"/>
          <w:sz w:val="20"/>
        </w:rPr>
        <w:t>million to $6.3</w:t>
      </w:r>
      <w:r>
        <w:rPr>
          <w:rFonts w:ascii="Times New Roman" w:hAnsi="Times New Roman"/>
          <w:color w:val="000000"/>
          <w:sz w:val="20"/>
        </w:rPr>
        <w:t xml:space="preserve"> </w:t>
      </w:r>
      <w:r>
        <w:rPr>
          <w:rFonts w:ascii="Arial" w:hAnsi="Arial"/>
          <w:color w:val="000000"/>
          <w:sz w:val="20"/>
        </w:rPr>
        <w:t>million and extended the estimated project completion date. The aforementioned September 2017 agreement and three amendments are collectively referred to as the “CFF Agreement”. The August 2023 Amendment represents a contract modification to an existing contract under ASC Topic 606, given the amendment did not include any additional goods or services, and the remaining research activities are not distinct from those previously provided. The August 2023 Amendment did not impact the transaction price, given the increased award amount relates to variable consideration for future milestones that are fully constrained. Accordingly, the contract modification did not result in a revenue adjustment. As of March 31, 2026 and December 31, 2025, the Company had achieved cumulative milestones totaling $1.8</w:t>
      </w:r>
      <w:r>
        <w:rPr>
          <w:rFonts w:ascii="Times New Roman" w:hAnsi="Times New Roman"/>
          <w:color w:val="000000"/>
          <w:sz w:val="20"/>
        </w:rPr>
        <w:t xml:space="preserve"> </w:t>
      </w:r>
      <w:r>
        <w:rPr>
          <w:rFonts w:ascii="Arial" w:hAnsi="Arial"/>
          <w:color w:val="000000"/>
          <w:sz w:val="20"/>
        </w:rPr>
        <w:t>million under the CFF Agreement. The remaining award amount will be paid by CFF based on achievement of certain development milestones by the Company.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Company expects to make payments to CFF equal to six</w:t>
      </w:r>
      <w:r>
        <w:rPr>
          <w:rFonts w:ascii="Times New Roman" w:hAnsi="Times New Roman"/>
          <w:color w:val="000000"/>
          <w:sz w:val="20"/>
        </w:rPr>
        <w:t xml:space="preserve"> </w:t>
      </w:r>
      <w:r>
        <w:rPr>
          <w:rFonts w:ascii="Arial" w:hAnsi="Arial"/>
          <w:color w:val="000000"/>
          <w:sz w:val="20"/>
        </w:rPr>
        <w:t>times the actual award received by the Company in three</w:t>
      </w:r>
      <w:r>
        <w:rPr>
          <w:rFonts w:ascii="Times New Roman" w:hAnsi="Times New Roman"/>
          <w:color w:val="000000"/>
          <w:sz w:val="20"/>
        </w:rPr>
        <w:t xml:space="preserve"> </w:t>
      </w:r>
      <w:r>
        <w:rPr>
          <w:rFonts w:ascii="Arial" w:hAnsi="Arial"/>
          <w:color w:val="000000"/>
          <w:sz w:val="20"/>
        </w:rPr>
        <w:t>installments within the first four years</w:t>
      </w:r>
      <w:r>
        <w:rPr>
          <w:rFonts w:ascii="Times New Roman" w:hAnsi="Times New Roman"/>
          <w:color w:val="000000"/>
          <w:sz w:val="20"/>
        </w:rPr>
        <w:t xml:space="preserve"> </w:t>
      </w:r>
      <w:r>
        <w:rPr>
          <w:rFonts w:ascii="Arial" w:hAnsi="Arial"/>
          <w:color w:val="000000"/>
          <w:sz w:val="20"/>
        </w:rPr>
        <w:t>of the first commercial sale of a product developed under this agreement. The Company also has agreed to make future sales-based milestone payments to CFF of up to three</w:t>
      </w:r>
      <w:r>
        <w:rPr>
          <w:rFonts w:ascii="Times New Roman" w:hAnsi="Times New Roman"/>
          <w:color w:val="000000"/>
          <w:sz w:val="20"/>
        </w:rPr>
        <w:t xml:space="preserve"> </w:t>
      </w:r>
      <w:r>
        <w:rPr>
          <w:rFonts w:ascii="Arial" w:hAnsi="Arial"/>
          <w:color w:val="000000"/>
          <w:sz w:val="20"/>
        </w:rPr>
        <w:t>times the actual award received upon achieving specified commercialization milestones with respect to the first of any product developed utilizing any compound covered under the CFF Agreement. The CFF Agreement also requires the Company to pay to CFF royalties of a mid-single digit percentage, up to six</w:t>
      </w:r>
      <w:r>
        <w:rPr>
          <w:rFonts w:ascii="Times New Roman" w:hAnsi="Times New Roman"/>
          <w:color w:val="000000"/>
          <w:sz w:val="20"/>
        </w:rPr>
        <w:t xml:space="preserve"> </w:t>
      </w:r>
      <w:r>
        <w:rPr>
          <w:rFonts w:ascii="Arial" w:hAnsi="Arial"/>
          <w:color w:val="000000"/>
          <w:sz w:val="20"/>
        </w:rPr>
        <w:t>times the actual award received, on any amounts received by the Company from the sale, license or transfer to a third-party of rights in the technology developed as a result of this collaboration. Any such royalty payments shall be credited against the payments owed by the Company upon first commercial sale. In the event of a change of control of the Company, CFF will receive certain payments, depending on the timing of the change of control and the size of the transaction.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To date, the Company has not developed a commercial product in connection with the CFF Agreement, and it has not licensed, sold or otherwise transferred to another party the product developed under the CFF Agreement or the underlying technology.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If at any time prior to the first commercial sale of a product developed as a result of the CFF Agreement, the Company ceases to use commercially reasonable efforts to develop or commercialize any product under the CFF Agreement for a continuous period of 180 consecutive days and fails to present a reasonable plan to resume commercially reasonable efforts, the Company will grant to CFF an irrevocable, exclusive worldwide interruption license under all of the Company’s interest in the research plan technology to exploit such product. Any third-party license granted by the Company shall be subject to such interruption license.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Company identified one performance obligation within the CFF Agreement for research activities. The CFF Agreement does not include a significant financing component.</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Company concluded that the transaction price should not include the variable consideration related to future research milestones as they were considered to be constrained as it is probable that the inclusion of such variable consideration could result in a significant reversal of cumulative revenue in the future. The Company re-evaluates the transaction price and estimated period of performance at each reporting period.</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Revenue recognized during the three months ended March 31, 2026 and 2025 was $0.1</w:t>
      </w:r>
      <w:r>
        <w:rPr>
          <w:rFonts w:ascii="Times New Roman" w:hAnsi="Times New Roman"/>
          <w:color w:val="000000"/>
          <w:sz w:val="20"/>
        </w:rPr>
        <w:t xml:space="preserve"> </w:t>
      </w:r>
      <w:r>
        <w:rPr>
          <w:rFonts w:ascii="Arial" w:hAnsi="Arial"/>
          <w:color w:val="000000"/>
          <w:sz w:val="20"/>
        </w:rPr>
        <w:t>million and immaterial, respectively. As of March 31, 2026 and December 31, 2025, deferred revenue relating to the CFF Agreement was $1.0</w:t>
      </w:r>
      <w:r>
        <w:rPr>
          <w:rFonts w:ascii="Times New Roman" w:hAnsi="Times New Roman"/>
          <w:color w:val="000000"/>
          <w:sz w:val="20"/>
        </w:rPr>
        <w:t xml:space="preserve"> </w:t>
      </w:r>
      <w:r>
        <w:rPr>
          <w:rFonts w:ascii="Arial" w:hAnsi="Arial"/>
          <w:color w:val="000000"/>
          <w:sz w:val="20"/>
        </w:rPr>
        <w:t>million and $1.1</w:t>
      </w:r>
      <w:r>
        <w:rPr>
          <w:rFonts w:ascii="Times New Roman" w:hAnsi="Times New Roman"/>
          <w:color w:val="000000"/>
          <w:sz w:val="20"/>
        </w:rPr>
        <w:t xml:space="preserve"> </w:t>
      </w:r>
      <w:r>
        <w:rPr>
          <w:rFonts w:ascii="Arial" w:hAnsi="Arial"/>
          <w:color w:val="000000"/>
          <w:sz w:val="20"/>
        </w:rPr>
        <w:t>million, respectively. There were no</w:t>
      </w:r>
      <w:r>
        <w:rPr>
          <w:rFonts w:ascii="Times New Roman" w:hAnsi="Times New Roman"/>
          <w:color w:val="000000"/>
          <w:sz w:val="20"/>
        </w:rPr>
        <w:t xml:space="preserve"> </w:t>
      </w:r>
      <w:r>
        <w:rPr>
          <w:rFonts w:ascii="Arial" w:hAnsi="Arial"/>
          <w:color w:val="000000"/>
          <w:sz w:val="20"/>
        </w:rPr>
        <w:t>accounts receivable from CFF under the CFF Agreement as of March 31, 2026 and December 31, 2025. As of March 31, 2026 and December 31, 2025, the aggregate amount of the transaction price allocated to the remaining performance obligation was $1.0</w:t>
      </w:r>
      <w:r>
        <w:rPr>
          <w:rFonts w:ascii="Times New Roman" w:hAnsi="Times New Roman"/>
          <w:color w:val="000000"/>
          <w:sz w:val="20"/>
        </w:rPr>
        <w:t xml:space="preserve"> </w:t>
      </w:r>
      <w:r>
        <w:rPr>
          <w:rFonts w:ascii="Arial" w:hAnsi="Arial"/>
          <w:color w:val="000000"/>
          <w:sz w:val="20"/>
        </w:rPr>
        <w:t>million and $1.1</w:t>
      </w:r>
      <w:r>
        <w:rPr>
          <w:rFonts w:ascii="Times New Roman" w:hAnsi="Times New Roman"/>
          <w:color w:val="000000"/>
          <w:sz w:val="20"/>
        </w:rPr>
        <w:t xml:space="preserve"> </w:t>
      </w:r>
      <w:r>
        <w:rPr>
          <w:rFonts w:ascii="Arial" w:hAnsi="Arial"/>
          <w:color w:val="000000"/>
          <w:sz w:val="20"/>
        </w:rPr>
        <w:t>million, respectively. Based on current timelines, the deferred revenue is expected to be recognized as revenue over the next four years</w:t>
      </w:r>
      <w:r>
        <w:rPr>
          <w:rFonts w:ascii="Times New Roman" w:hAnsi="Times New Roman"/>
          <w:color w:val="000000"/>
          <w:sz w:val="20"/>
        </w:rPr>
        <w:t xml:space="preserve"> </w:t>
      </w:r>
      <w:r>
        <w:rPr>
          <w:rFonts w:ascii="Arial" w:hAnsi="Arial"/>
          <w:color w:val="000000"/>
          <w:sz w:val="20"/>
        </w:rPr>
        <w:t>as the Company performs research services through the completion of IND-enabling studies.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obligation to make payments to CFF upon a change of control meets the definition of an embedded derivative that is required to be bifurcated and separately accounted for as a derivative liability. See Note 15, Derivative Liability, for further discussion of the embedded derivative.</w:t>
      </w:r>
    </w:p>
    <w:p>
      <w:pPr>
        <w:pStyle w:val="TextBody"/>
        <w:bidi w:val="0"/>
        <w:spacing w:before="240" w:after="283"/>
        <w:jc w:val="left"/>
        <w:rPr>
          <w:rFonts w:ascii="Arial" w:hAnsi="Arial"/>
          <w:b/>
          <w:color w:val="222222"/>
          <w:sz w:val="20"/>
        </w:rPr>
      </w:pPr>
      <w:r>
        <w:rPr>
          <w:rFonts w:ascii="Arial" w:hAnsi="Arial"/>
          <w:b/>
          <w:color w:val="222222"/>
          <w:sz w:val="20"/>
        </w:rPr>
        <w:t>Otsuka Pharmaceutical Co., Ltd</w:t>
      </w:r>
    </w:p>
    <w:p>
      <w:pPr>
        <w:pStyle w:val="TextBody"/>
        <w:bidi w:val="0"/>
        <w:spacing w:before="240" w:after="283"/>
        <w:jc w:val="both"/>
        <w:rPr>
          <w:rFonts w:ascii="Arial" w:hAnsi="Arial"/>
          <w:color w:val="000000"/>
          <w:sz w:val="20"/>
        </w:rPr>
      </w:pPr>
      <w:r>
        <w:rPr>
          <w:rFonts w:ascii="Arial" w:hAnsi="Arial"/>
          <w:color w:val="000000"/>
          <w:sz w:val="20"/>
        </w:rPr>
        <w:t>On October 31, 2025, the Company entered into a Collaboration and License Agreement (the "Otsuka Agreement") with Otsuka. Pursuant to the Otsuka Agreement, the Company granted Otsuka an exclusive royalty-bearing sublicensable license to its intellectual property to develop, manufacture and commercialize 4D-150, its lead product candidate for ophthalmological diseases, in Japan, Korea, China, Australia, and certain other Asia-Pacific markets ("Otsuka Territory"). The Company retains full development and commercialization rights for 4D-150 outside the Otsuka Territory, including the United States, Latin America, and Europe.</w:t>
      </w:r>
    </w:p>
    <w:p>
      <w:pPr>
        <w:pStyle w:val="TextBody"/>
        <w:bidi w:val="0"/>
        <w:spacing w:before="240" w:after="283"/>
        <w:jc w:val="both"/>
        <w:rPr>
          <w:rFonts w:ascii="Arial" w:hAnsi="Arial"/>
          <w:color w:val="000000"/>
          <w:sz w:val="20"/>
        </w:rPr>
      </w:pPr>
      <w:r>
        <w:rPr>
          <w:rFonts w:ascii="Arial" w:hAnsi="Arial"/>
          <w:color w:val="000000"/>
          <w:sz w:val="20"/>
        </w:rPr>
        <w:t>Otsuka will lead all regulatory and commercialization activities in the Otsuka Territory. The Company will lead all Phase 3 clinical activity globally, including within the Otsuka Territory. In aggregate, the Company is currently responsible for separate global phase 3 trials for wet age-related macular degeneration ("wet AMD") and diabetic macular edema (“DME”), local clinical trials in the Otsuka Territory as required by local regulatory authorities, and several other studies, including the related regulatory activities and long-term follow up studies. The Company and Otsuka will coordinate and review the development and other activities through a joint steering committee.</w:t>
      </w:r>
    </w:p>
    <w:p>
      <w:pPr>
        <w:pStyle w:val="TextBody"/>
        <w:bidi w:val="0"/>
        <w:spacing w:before="240" w:after="283"/>
        <w:jc w:val="both"/>
        <w:rPr>
          <w:rFonts w:ascii="Arial" w:hAnsi="Arial"/>
          <w:color w:val="000000"/>
          <w:sz w:val="20"/>
        </w:rPr>
      </w:pPr>
      <w:r>
        <w:rPr>
          <w:rFonts w:ascii="Arial" w:hAnsi="Arial"/>
          <w:color w:val="000000"/>
          <w:sz w:val="20"/>
        </w:rPr>
        <w:t>The Company also will manufacture and supply 4D-150 to Otsuka for clinical and commercial use at a supply price derived from the Company's manufacturing costs plus a margin.</w:t>
      </w:r>
    </w:p>
    <w:p>
      <w:pPr>
        <w:pStyle w:val="TextBody"/>
        <w:bidi w:val="0"/>
        <w:spacing w:before="240" w:after="283"/>
        <w:jc w:val="both"/>
        <w:rPr>
          <w:rFonts w:ascii="Times New Roman" w:hAnsi="Times New Roman"/>
          <w:sz w:val="20"/>
        </w:rPr>
      </w:pPr>
      <w:r>
        <w:rPr>
          <w:rFonts w:ascii="Arial" w:hAnsi="Arial"/>
          <w:color w:val="000000"/>
          <w:sz w:val="20"/>
        </w:rPr>
        <w:t>The Company has received a nonrefundable upfront cash payment of $85.0</w:t>
      </w:r>
      <w:r>
        <w:rPr>
          <w:rFonts w:ascii="Times New Roman" w:hAnsi="Times New Roman"/>
          <w:color w:val="000000"/>
          <w:sz w:val="20"/>
        </w:rPr>
        <w:t xml:space="preserve"> </w:t>
      </w:r>
      <w:r>
        <w:rPr>
          <w:rFonts w:ascii="Arial" w:hAnsi="Arial"/>
          <w:color w:val="000000"/>
          <w:sz w:val="20"/>
        </w:rPr>
        <w:t>million and is eligible to receive quarterly clinical trial cost sharing and reimbursement amounts. In addition, the Company is eligible for up to $335.5</w:t>
      </w:r>
      <w:r>
        <w:rPr>
          <w:rFonts w:ascii="Times New Roman" w:hAnsi="Times New Roman"/>
          <w:color w:val="000000"/>
          <w:sz w:val="20"/>
        </w:rPr>
        <w:t xml:space="preserve"> </w:t>
      </w:r>
      <w:r>
        <w:rPr>
          <w:rFonts w:ascii="Arial" w:hAnsi="Arial"/>
          <w:color w:val="000000"/>
          <w:sz w:val="20"/>
        </w:rPr>
        <w:t>million in potential regulatory and commercial milestone payments and tiered double-digit royalties on net sales in the Otsuka Territory, and subject to royalty reductions under certain circumstances.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Otsuka Agreement will remain in effect, unless earlier terminated, on a country-by-country basis, until the date that Otsuka is no longer developing or commercializing 4D-150 in such country within the Otsuka Territory. Otsuka may terminate the Otsuka Agreement for convenience, on a country-by-country basis, upon sufficient prior written notice as per the Otsuka Agreement, or due to safety reasons or the failure of certain of the Company’s related clinical trials to achieve their primary endpoints. The Company may terminate the Otsuka Agreement upon notice if Otsuka ceases all development activities and commercialization of 4D-150 in Japan for an agreed upon period as per the Otsuka Agreement and does not resume such activities or commercialization within a specified notice period. Upon termination, any license granted by the Company to Otsuka will terminate.</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The Company concluded that Otsuka is a customer and that the arrangement represents a contract with a customer under the scope of ASC 606. The Company identified the following promised goods and services that represent performance obligations: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exclusive license to its intellectual property to develop, manufacture and commercialize 4D-150 in the Otsuka Territory,</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color w:val="000000"/>
          <w:sz w:val="20"/>
        </w:rPr>
        <w:t>performance of separate global phase 3 trials for wet AMD and DME, local clinical trials in the Otsuka Territory as required by the local regulatory authorities, and several other studies,</w:t>
      </w:r>
      <w:r>
        <w:rPr>
          <w:color w:val="000000"/>
        </w:rPr>
        <w:t xml:space="preserve"> </w:t>
      </w:r>
      <w:r>
        <w:rPr>
          <w:rFonts w:ascii="Arial" w:hAnsi="Arial"/>
          <w:color w:val="000000"/>
          <w:sz w:val="20"/>
        </w:rPr>
        <w:t>including the associated regulatory and joint steering committee activities. Separate performance obligations were identified for each individual trial or study.</w:t>
      </w:r>
    </w:p>
    <w:p>
      <w:pPr>
        <w:pStyle w:val="TextBody"/>
        <w:bidi w:val="0"/>
        <w:spacing w:before="240" w:after="283"/>
        <w:jc w:val="both"/>
        <w:rPr>
          <w:rFonts w:ascii="Arial" w:hAnsi="Arial"/>
          <w:color w:val="000000"/>
          <w:sz w:val="20"/>
        </w:rPr>
      </w:pPr>
      <w:r>
        <w:rPr>
          <w:rFonts w:ascii="Arial" w:hAnsi="Arial"/>
          <w:color w:val="000000"/>
          <w:sz w:val="20"/>
        </w:rPr>
        <w:t>The license was considered functional intellectual property as of the inception of the Otsuka Agreement and distinct from other promises under the contract, as Otsuka can benefit from the license on its own or together with other readily available resources. Each of the clinical trial and other study services were considered distinct as the customer can benefit from these services together with the license transferred at the inception of the Otsuka Agreement. The clinical trial and other study services will not modify or customize the initial intellectual property transferred at contract inception due to the late stage of development of the intellectual property.</w:t>
      </w:r>
    </w:p>
    <w:p>
      <w:pPr>
        <w:pStyle w:val="TextBody"/>
        <w:bidi w:val="0"/>
        <w:spacing w:before="240" w:after="283"/>
        <w:jc w:val="both"/>
        <w:rPr>
          <w:rFonts w:ascii="Times New Roman" w:hAnsi="Times New Roman"/>
          <w:sz w:val="20"/>
        </w:rPr>
      </w:pPr>
      <w:r>
        <w:rPr>
          <w:rFonts w:ascii="Arial" w:hAnsi="Arial"/>
          <w:color w:val="000000"/>
          <w:sz w:val="20"/>
        </w:rPr>
        <w:t>The Company concluded manufacturing and supply of 4D-150 for clinical and commercial use does not represent a performance obligation, as these activities are at Otsuka’s option. Product supply is priced at standalone selling prices, and therefore does not provide Otsuka with material rights.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To the extent Otsuka requests the Company to supply 4D-150, such supply will be considered a separate contract with the customer.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initial transaction price includes the upfront cash payment and variable consideration for clinical trials and other studies performance obligations, some of which have started and others that have not yet started as of March 31, 2026. The upfront cash payment is $85</w:t>
      </w:r>
      <w:r>
        <w:rPr>
          <w:rFonts w:ascii="Times New Roman" w:hAnsi="Times New Roman"/>
          <w:color w:val="000000"/>
          <w:sz w:val="20"/>
        </w:rPr>
        <w:t xml:space="preserve"> </w:t>
      </w:r>
      <w:r>
        <w:rPr>
          <w:rFonts w:ascii="Arial" w:hAnsi="Arial"/>
          <w:color w:val="000000"/>
          <w:sz w:val="20"/>
        </w:rPr>
        <w:t>million and was received during the year ended December 31, 2025. The variable consideration in the form of the estimated cost sharing and reimbursement of approximately $37.0 million represents the amount allocated to unsatisfied or partially unsatisfied performance obligations, that have already started as of March 31, 2026, and was allocated entirely to the clinical trials and other studies performance obligations using the variable consideration allocation exception.</w:t>
      </w:r>
    </w:p>
    <w:p>
      <w:pPr>
        <w:pStyle w:val="TextBody"/>
        <w:bidi w:val="0"/>
        <w:spacing w:before="240" w:after="160"/>
        <w:jc w:val="both"/>
        <w:rPr>
          <w:rFonts w:ascii="Arial" w:hAnsi="Arial"/>
          <w:color w:val="000000"/>
          <w:sz w:val="20"/>
        </w:rPr>
      </w:pPr>
      <w:r>
        <w:rPr>
          <w:rFonts w:ascii="Arial" w:hAnsi="Arial"/>
          <w:color w:val="000000"/>
          <w:sz w:val="20"/>
        </w:rPr>
        <w:t>The regulatory milestone amounts are not currently probable and have not been included in the transaction price as the amounts are fully constrained. The sales-based commercial milestones and royalties relate to the granted intellectual property license and will be recognized when the related sales occur.</w:t>
      </w:r>
    </w:p>
    <w:p>
      <w:pPr>
        <w:pStyle w:val="TextBody"/>
        <w:bidi w:val="0"/>
        <w:spacing w:before="80" w:after="160"/>
        <w:jc w:val="both"/>
        <w:rPr>
          <w:rFonts w:ascii="Times New Roman" w:hAnsi="Times New Roman"/>
          <w:sz w:val="20"/>
        </w:rPr>
      </w:pPr>
      <w:r>
        <w:rPr>
          <w:rFonts w:ascii="Arial" w:hAnsi="Arial"/>
          <w:color w:val="000000"/>
          <w:sz w:val="20"/>
        </w:rPr>
        <w:t>At the end of each reporting period, the Company will re-evaluate the estimated variable consideration and if necessary, adjust the transaction price.</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To determine the standalone selling prices of each performance obligation, the Company used significant estimates and assumptions that include but are not limited to, expected market opportunity and pricing, expected future costs of clinical trials and other studies, and timelines and likelihood of success of clinical and regulatory activities. For the standalone selling price of the license, the Company used a discounted cash flow analysis of projected cash flows and potential revenues from the commercial sales of 4D-150 in the Otsuka Territory. To determine the standalone selling prices of the Company’s obligations to conduct clinical trials and other studies, the expected cost plus margin approach was used.</w:t>
      </w:r>
    </w:p>
    <w:p>
      <w:pPr>
        <w:pStyle w:val="TextBody"/>
        <w:bidi w:val="0"/>
        <w:spacing w:before="240" w:after="283"/>
        <w:jc w:val="both"/>
        <w:rPr>
          <w:rFonts w:ascii="Times New Roman" w:hAnsi="Times New Roman"/>
          <w:sz w:val="20"/>
        </w:rPr>
      </w:pPr>
      <w:r>
        <w:rPr>
          <w:rFonts w:ascii="Arial" w:hAnsi="Arial"/>
          <w:color w:val="000000"/>
          <w:sz w:val="20"/>
        </w:rPr>
        <w:t>Variable consideration to which the Company is entitled to is allocated directly to the associated performance obligations, as it is triggered by the Company’s performance or represents specific outcomes from such performance, and the resulting allocation meets the allocation objective.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The upfront amount of $85.0</w:t>
      </w:r>
      <w:r>
        <w:rPr>
          <w:rFonts w:ascii="Times New Roman" w:hAnsi="Times New Roman"/>
          <w:color w:val="000000"/>
          <w:sz w:val="20"/>
        </w:rPr>
        <w:t xml:space="preserve"> </w:t>
      </w:r>
      <w:r>
        <w:rPr>
          <w:rFonts w:ascii="Arial" w:hAnsi="Arial"/>
          <w:color w:val="000000"/>
          <w:sz w:val="20"/>
        </w:rPr>
        <w:t>million was allocated entirely to the license performance obligation and was recognized at a point in time upon the transfer of control during the year ended December 31, 2025.</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Revenue attributable to the remaining performance obligations to conduct clinical trials and other studies will be recognized over time as the underlying services are performed, over the period through the completion of program development activities. Progress is measured using an input method based on cumulative cost incurred relative to the total estimated cost of the performance obligation. Estimated progress and the underlying costs will be reviewed and adjusted as necessary at every reporting date. Revenue from clinical trials and other studies performance obligations was approximately $3.0</w:t>
      </w:r>
      <w:r>
        <w:rPr>
          <w:rFonts w:ascii="Times New Roman" w:hAnsi="Times New Roman"/>
          <w:color w:val="000000"/>
          <w:sz w:val="20"/>
        </w:rPr>
        <w:t xml:space="preserve"> </w:t>
      </w:r>
      <w:r>
        <w:rPr>
          <w:rFonts w:ascii="Arial" w:hAnsi="Arial"/>
          <w:color w:val="000000"/>
          <w:sz w:val="20"/>
        </w:rPr>
        <w:t>million during the three months ended March 31, 2026.</w:t>
      </w:r>
    </w:p>
    <w:p>
      <w:pPr>
        <w:pStyle w:val="TextBody"/>
        <w:bidi w:val="0"/>
        <w:spacing w:before="240" w:after="283"/>
        <w:jc w:val="both"/>
        <w:rPr>
          <w:rFonts w:ascii="Times New Roman" w:hAnsi="Times New Roman"/>
          <w:sz w:val="20"/>
        </w:rPr>
      </w:pPr>
      <w:r>
        <w:rPr>
          <w:rFonts w:ascii="Arial" w:hAnsi="Arial"/>
          <w:color w:val="000000"/>
          <w:sz w:val="20"/>
        </w:rPr>
        <w:t>The transaction price amount allocated to unsatisfied or partially unsatisfied performance obligations as of March 31, 2026 was approximately $37.0</w:t>
      </w:r>
      <w:r>
        <w:rPr>
          <w:rFonts w:ascii="Times New Roman" w:hAnsi="Times New Roman"/>
          <w:color w:val="000000"/>
          <w:sz w:val="20"/>
        </w:rPr>
        <w:t xml:space="preserve"> </w:t>
      </w:r>
      <w:r>
        <w:rPr>
          <w:rFonts w:ascii="Arial" w:hAnsi="Arial"/>
          <w:color w:val="000000"/>
          <w:sz w:val="20"/>
        </w:rPr>
        <w:t>million, expected to be recognized during 2026 through 2032 as clinical trials and other studies continue. Certain performance obligations have not started as of March 31, 2026 and the related amounts are not included above.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amount due from Otsuka was $4.4</w:t>
      </w:r>
      <w:r>
        <w:rPr>
          <w:rFonts w:ascii="Times New Roman" w:hAnsi="Times New Roman"/>
          <w:color w:val="000000"/>
          <w:sz w:val="20"/>
        </w:rPr>
        <w:t xml:space="preserve"> </w:t>
      </w:r>
      <w:r>
        <w:rPr>
          <w:rFonts w:ascii="Arial" w:hAnsi="Arial"/>
          <w:color w:val="000000"/>
          <w:sz w:val="20"/>
        </w:rPr>
        <w:t>million as of March 31, 2026, for the estimated cost sharing and reimbursement and is included in prepaid and other current assets on the Company's condensed balance sheets.</w:t>
      </w:r>
    </w:p>
    <w:p>
      <w:pPr>
        <w:pStyle w:val="TextBody"/>
        <w:bidi w:val="0"/>
        <w:spacing w:before="240" w:after="283"/>
        <w:jc w:val="both"/>
        <w:rPr>
          <w:rFonts w:ascii="Times New Roman" w:hAnsi="Times New Roman"/>
          <w:sz w:val="20"/>
        </w:rPr>
      </w:pPr>
      <w:r>
        <w:rPr>
          <w:rFonts w:ascii="Arial" w:hAnsi="Arial"/>
          <w:b/>
          <w:i/>
          <w:color w:val="000000"/>
          <w:sz w:val="20"/>
        </w:rPr>
        <w:t>7. License Arrangements</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Aevitas Therapeutics, Inc. and The Trustees of the University of Pennsylvania</w:t>
      </w:r>
    </w:p>
    <w:p>
      <w:pPr>
        <w:pStyle w:val="TextBody"/>
        <w:bidi w:val="0"/>
        <w:spacing w:before="240" w:after="283"/>
        <w:jc w:val="both"/>
        <w:rPr>
          <w:rFonts w:ascii="Times New Roman" w:hAnsi="Times New Roman"/>
          <w:sz w:val="20"/>
        </w:rPr>
      </w:pPr>
      <w:r>
        <w:rPr>
          <w:rFonts w:ascii="Arial" w:hAnsi="Arial"/>
          <w:color w:val="000000"/>
          <w:sz w:val="20"/>
        </w:rPr>
        <w:t>On April 21, 2023, the Company entered into an agreement (the “Aevitas Agreement”) with Aevitas Therapeutics, Inc. (“Aevitas”), pursuant to which the Company acquired all of Aevitas’ worldwide rights to short-form human complement factor H (sCFH), which the Company plans to use for its 4D-175 product candidate research program. The asset purchase was accounted for as an asset acquisition. As consideration for the Aevitas Agreement, the Company shall pay Aevitas up to approximately $144.1</w:t>
      </w:r>
      <w:r>
        <w:rPr>
          <w:rFonts w:ascii="Times New Roman" w:hAnsi="Times New Roman"/>
          <w:color w:val="000000"/>
          <w:sz w:val="20"/>
        </w:rPr>
        <w:t xml:space="preserve"> </w:t>
      </w:r>
      <w:r>
        <w:rPr>
          <w:rFonts w:ascii="Arial" w:hAnsi="Arial"/>
          <w:color w:val="000000"/>
          <w:sz w:val="20"/>
        </w:rPr>
        <w:t>million in cash upon certain late-stage milestones being achieved, including $7.2</w:t>
      </w:r>
      <w:r>
        <w:rPr>
          <w:rFonts w:ascii="Times New Roman" w:hAnsi="Times New Roman"/>
          <w:color w:val="000000"/>
          <w:sz w:val="20"/>
        </w:rPr>
        <w:t xml:space="preserve"> </w:t>
      </w:r>
      <w:r>
        <w:rPr>
          <w:rFonts w:ascii="Arial" w:hAnsi="Arial"/>
          <w:color w:val="000000"/>
          <w:sz w:val="20"/>
        </w:rPr>
        <w:t>million for development milestones, $68.0</w:t>
      </w:r>
      <w:r>
        <w:rPr>
          <w:rFonts w:ascii="Times New Roman" w:hAnsi="Times New Roman"/>
          <w:color w:val="000000"/>
          <w:sz w:val="20"/>
        </w:rPr>
        <w:t xml:space="preserve"> </w:t>
      </w:r>
      <w:r>
        <w:rPr>
          <w:rFonts w:ascii="Arial" w:hAnsi="Arial"/>
          <w:color w:val="000000"/>
          <w:sz w:val="20"/>
        </w:rPr>
        <w:t>million for regulatory milestones and $68.9</w:t>
      </w:r>
      <w:r>
        <w:rPr>
          <w:rFonts w:ascii="Times New Roman" w:hAnsi="Times New Roman"/>
          <w:color w:val="000000"/>
          <w:sz w:val="20"/>
        </w:rPr>
        <w:t xml:space="preserve"> </w:t>
      </w:r>
      <w:r>
        <w:rPr>
          <w:rFonts w:ascii="Arial" w:hAnsi="Arial"/>
          <w:color w:val="000000"/>
          <w:sz w:val="20"/>
        </w:rPr>
        <w:t>million for sales milestones</w:t>
      </w:r>
      <w:r>
        <w:rPr>
          <w:rFonts w:ascii="Times New Roman" w:hAnsi="Times New Roman"/>
          <w:color w:val="000000"/>
          <w:sz w:val="20"/>
        </w:rPr>
        <w:t xml:space="preserve"> </w:t>
      </w:r>
      <w:r>
        <w:rPr>
          <w:rFonts w:ascii="Arial" w:hAnsi="Arial"/>
          <w:color w:val="000000"/>
          <w:sz w:val="20"/>
        </w:rPr>
        <w:t>plus royalties in the low single digits range on sales of 4D-175. In addition, as part of the Aevitas Agreement, the Company was assigned a License Agreement for sCFH with the Trustees of the University of Pennsylvania, under which the Company shall pay the University of Pennsylvania up to approximately $41.6</w:t>
      </w:r>
      <w:r>
        <w:rPr>
          <w:rFonts w:ascii="Times New Roman" w:hAnsi="Times New Roman"/>
          <w:color w:val="000000"/>
          <w:sz w:val="20"/>
        </w:rPr>
        <w:t xml:space="preserve"> </w:t>
      </w:r>
      <w:r>
        <w:rPr>
          <w:rFonts w:ascii="Arial" w:hAnsi="Arial"/>
          <w:color w:val="000000"/>
          <w:sz w:val="20"/>
        </w:rPr>
        <w:t>million in cash upon certain late-stage milestones being achieved, including $1.9</w:t>
      </w:r>
      <w:r>
        <w:rPr>
          <w:rFonts w:ascii="Times New Roman" w:hAnsi="Times New Roman"/>
          <w:color w:val="000000"/>
          <w:sz w:val="20"/>
        </w:rPr>
        <w:t xml:space="preserve"> </w:t>
      </w:r>
      <w:r>
        <w:rPr>
          <w:rFonts w:ascii="Arial" w:hAnsi="Arial"/>
          <w:color w:val="000000"/>
          <w:sz w:val="20"/>
        </w:rPr>
        <w:t>million development, $21.5</w:t>
      </w:r>
      <w:r>
        <w:rPr>
          <w:rFonts w:ascii="Times New Roman" w:hAnsi="Times New Roman"/>
          <w:color w:val="000000"/>
          <w:sz w:val="20"/>
        </w:rPr>
        <w:t xml:space="preserve"> </w:t>
      </w:r>
      <w:r>
        <w:rPr>
          <w:rFonts w:ascii="Arial" w:hAnsi="Arial"/>
          <w:color w:val="000000"/>
          <w:sz w:val="20"/>
        </w:rPr>
        <w:t>million regulatory and $18.2</w:t>
      </w:r>
      <w:r>
        <w:rPr>
          <w:rFonts w:ascii="Times New Roman" w:hAnsi="Times New Roman"/>
          <w:color w:val="000000"/>
          <w:sz w:val="20"/>
        </w:rPr>
        <w:t xml:space="preserve"> </w:t>
      </w:r>
      <w:r>
        <w:rPr>
          <w:rFonts w:ascii="Arial" w:hAnsi="Arial"/>
          <w:color w:val="000000"/>
          <w:sz w:val="20"/>
        </w:rPr>
        <w:t>million sales milestones plus royalties in the low single digits range on sales of 4D-175. No</w:t>
      </w:r>
      <w:r>
        <w:rPr>
          <w:rFonts w:ascii="Times New Roman" w:hAnsi="Times New Roman"/>
          <w:color w:val="000000"/>
          <w:sz w:val="20"/>
        </w:rPr>
        <w:t xml:space="preserve"> </w:t>
      </w:r>
      <w:r>
        <w:rPr>
          <w:rFonts w:ascii="Arial" w:hAnsi="Arial"/>
          <w:color w:val="000000"/>
          <w:sz w:val="20"/>
        </w:rPr>
        <w:t>upfront consideration was paid under the Aevitas Agreement.</w:t>
      </w:r>
    </w:p>
    <w:p>
      <w:pPr>
        <w:pStyle w:val="TextBody"/>
        <w:bidi w:val="0"/>
        <w:spacing w:before="240" w:after="283"/>
        <w:jc w:val="both"/>
        <w:rPr>
          <w:rFonts w:ascii="Arial" w:hAnsi="Arial"/>
          <w:color w:val="000000"/>
          <w:sz w:val="20"/>
        </w:rPr>
      </w:pPr>
      <w:r>
        <w:rPr>
          <w:rFonts w:ascii="Arial" w:hAnsi="Arial"/>
          <w:color w:val="000000"/>
          <w:sz w:val="20"/>
        </w:rPr>
        <w:t>As of March 31, 2026, the Company has not recorded a liability related to contingent consideration for future milestone and royalty payments to either Aevitas or the University of Pennsylvania, as the achievement of such milestones has not occurred and was not deemed probable and product sales have not commenced.</w:t>
      </w:r>
    </w:p>
    <w:p>
      <w:pPr>
        <w:pStyle w:val="TextBody"/>
        <w:bidi w:val="0"/>
        <w:spacing w:before="240" w:after="283"/>
        <w:jc w:val="both"/>
        <w:rPr>
          <w:rFonts w:ascii="Times New Roman" w:hAnsi="Times New Roman"/>
          <w:sz w:val="20"/>
        </w:rPr>
      </w:pPr>
      <w:r>
        <w:rPr>
          <w:rFonts w:ascii="Arial" w:hAnsi="Arial"/>
          <w:b/>
          <w:i/>
          <w:color w:val="000000"/>
          <w:sz w:val="20"/>
        </w:rPr>
        <w:t>Regents of the University of California</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Company has exclusive, worldwide license agreements (the “UC Agreements”) with the Regents of the University of California (the “UC Regents”) relating to the use of certain patents and intellectual property surrounding its core technologies, including Therapeutic Vector Evolution. Pursuant to each of the UC Agreements executed prior to January 2019, the Company was obligated to pay a (i) non-refundable license fee of $5,000</w:t>
      </w:r>
      <w:r>
        <w:rPr>
          <w:rFonts w:ascii="Times New Roman" w:hAnsi="Times New Roman"/>
          <w:color w:val="000000"/>
          <w:sz w:val="20"/>
        </w:rPr>
        <w:t xml:space="preserve"> </w:t>
      </w:r>
      <w:r>
        <w:rPr>
          <w:rFonts w:ascii="Arial" w:hAnsi="Arial"/>
          <w:color w:val="000000"/>
          <w:sz w:val="20"/>
        </w:rPr>
        <w:t>upon execution, (ii) a non-refundable license fee of $5,000</w:t>
      </w:r>
      <w:r>
        <w:rPr>
          <w:rFonts w:ascii="Times New Roman" w:hAnsi="Times New Roman"/>
          <w:color w:val="000000"/>
          <w:sz w:val="20"/>
        </w:rPr>
        <w:t xml:space="preserve"> </w:t>
      </w:r>
      <w:r>
        <w:rPr>
          <w:rFonts w:ascii="Arial" w:hAnsi="Arial"/>
          <w:color w:val="000000"/>
          <w:sz w:val="20"/>
        </w:rPr>
        <w:t>each year thereafter, until sales of a licensed product are made and royalties are paid to the UC Regents, (iii) reimbursement of domestic and foreign patent filing, prosecution and maintenance fees, and (iv) either $50,000</w:t>
      </w:r>
      <w:r>
        <w:rPr>
          <w:rFonts w:ascii="Times New Roman" w:hAnsi="Times New Roman"/>
          <w:color w:val="000000"/>
          <w:sz w:val="20"/>
        </w:rPr>
        <w:t xml:space="preserve"> </w:t>
      </w:r>
      <w:r>
        <w:rPr>
          <w:rFonts w:ascii="Arial" w:hAnsi="Arial"/>
          <w:color w:val="000000"/>
          <w:sz w:val="20"/>
        </w:rPr>
        <w:t>or issuance of a 3% equity interest in the Company upon the closing of the first qualified financing at the option of the UC Regents. The Company’s first qualified financing occurred in 2015 and at the election</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of the UC Regents, the Company issued the UC Regents in January 2016 an amount of common stock equal to 6% of the equity interests in the Company pursuant to the applicable clause in each of the UC Agreements.</w:t>
      </w:r>
    </w:p>
    <w:p>
      <w:pPr>
        <w:pStyle w:val="TextBody"/>
        <w:bidi w:val="0"/>
        <w:spacing w:before="240" w:after="283"/>
        <w:jc w:val="both"/>
        <w:rPr>
          <w:rFonts w:ascii="Times New Roman" w:hAnsi="Times New Roman"/>
          <w:sz w:val="20"/>
        </w:rPr>
      </w:pPr>
      <w:r>
        <w:rPr>
          <w:rFonts w:ascii="Arial" w:hAnsi="Arial"/>
          <w:color w:val="000000"/>
          <w:sz w:val="20"/>
        </w:rPr>
        <w:t>Pursuant to an agreement with the UC Regents executed in January 2019 the Company paid a non-refundable license fee of $50,000</w:t>
      </w:r>
      <w:r>
        <w:rPr>
          <w:rFonts w:ascii="Times New Roman" w:hAnsi="Times New Roman"/>
          <w:color w:val="000000"/>
          <w:sz w:val="20"/>
        </w:rPr>
        <w:t xml:space="preserve"> </w:t>
      </w:r>
      <w:r>
        <w:rPr>
          <w:rFonts w:ascii="Arial" w:hAnsi="Arial"/>
          <w:color w:val="000000"/>
          <w:sz w:val="20"/>
        </w:rPr>
        <w:t>to the UC Regents upon execution of the agreement. The Company is obligated to pay a non-refundable license fee of $5,000</w:t>
      </w:r>
      <w:r>
        <w:rPr>
          <w:rFonts w:ascii="Times New Roman" w:hAnsi="Times New Roman"/>
          <w:color w:val="000000"/>
          <w:sz w:val="20"/>
        </w:rPr>
        <w:t xml:space="preserve"> </w:t>
      </w:r>
      <w:r>
        <w:rPr>
          <w:rFonts w:ascii="Arial" w:hAnsi="Arial"/>
          <w:color w:val="000000"/>
          <w:sz w:val="20"/>
        </w:rPr>
        <w:t>on the one-year anniversary of the contract effective date and each year thereafter, until sales of a licensed product are made and royalties are paid to the UC Regents.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addition, the Company is obligated to make certain contingent payments including (i) development milestones up to $3.1</w:t>
      </w:r>
      <w:r>
        <w:rPr>
          <w:rFonts w:ascii="Times New Roman" w:hAnsi="Times New Roman"/>
          <w:color w:val="000000"/>
          <w:sz w:val="20"/>
        </w:rPr>
        <w:t xml:space="preserve"> </w:t>
      </w:r>
      <w:r>
        <w:rPr>
          <w:rFonts w:ascii="Arial" w:hAnsi="Arial"/>
          <w:color w:val="000000"/>
          <w:sz w:val="20"/>
        </w:rPr>
        <w:t>million, (ii) low single digit royalties on the net sales of its developed products that consist of a minimum annual royalty of up to $0.1</w:t>
      </w:r>
      <w:r>
        <w:rPr>
          <w:rFonts w:ascii="Times New Roman" w:hAnsi="Times New Roman"/>
          <w:color w:val="000000"/>
          <w:sz w:val="20"/>
        </w:rPr>
        <w:t xml:space="preserve"> </w:t>
      </w:r>
      <w:r>
        <w:rPr>
          <w:rFonts w:ascii="Arial" w:hAnsi="Arial"/>
          <w:color w:val="000000"/>
          <w:sz w:val="20"/>
        </w:rPr>
        <w:t>million per year for the term of the agreement beginning in the first calendar year after the year in which net sales first occurred, and (iii) sublicense consideration in the mid-teens to the mid-twenties-range on any future sublicensing arrangements the Company may enter into with third-party licensees.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As of March 31, 2026, the Company has not recorded a liability related to contingent consideration for future milestone and royalty payments to UC Regents, as the achievement of such milestones has not occurred and was not deemed probable and product sales have not commenced.</w:t>
      </w:r>
    </w:p>
    <w:p>
      <w:pPr>
        <w:pStyle w:val="TextBody"/>
        <w:bidi w:val="0"/>
        <w:spacing w:before="240" w:after="283"/>
        <w:jc w:val="both"/>
        <w:rPr>
          <w:rFonts w:ascii="Times New Roman" w:hAnsi="Times New Roman"/>
          <w:sz w:val="20"/>
        </w:rPr>
      </w:pPr>
      <w:r>
        <w:rPr>
          <w:rFonts w:ascii="Arial" w:hAnsi="Arial"/>
          <w:b/>
          <w:i/>
          <w:color w:val="000000"/>
          <w:sz w:val="20"/>
        </w:rPr>
        <w:t>8. Commitments and Contingencies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color w:val="000000"/>
          <w:sz w:val="20"/>
        </w:rPr>
        <w:t>Operating Lease Commitments</w:t>
      </w:r>
      <w:r>
        <w:rPr>
          <w:rFonts w:ascii="Times New Roman" w:hAnsi="Times New Roman"/>
          <w:color w:val="000000"/>
          <w:sz w:val="20"/>
        </w:rPr>
        <w:t xml:space="preserve"> </w:t>
      </w:r>
    </w:p>
    <w:p>
      <w:pPr>
        <w:pStyle w:val="TextBody"/>
        <w:bidi w:val="0"/>
        <w:spacing w:before="240" w:after="283"/>
        <w:jc w:val="both"/>
        <w:rPr>
          <w:rFonts w:ascii="Arial" w:hAnsi="Arial"/>
          <w:i/>
          <w:color w:val="000000"/>
          <w:sz w:val="20"/>
        </w:rPr>
      </w:pPr>
      <w:r>
        <w:rPr>
          <w:rFonts w:ascii="Arial" w:hAnsi="Arial"/>
          <w:i/>
          <w:color w:val="000000"/>
          <w:sz w:val="20"/>
        </w:rPr>
        <w:t>5980 Horton Street Building Lease</w:t>
      </w:r>
    </w:p>
    <w:p>
      <w:pPr>
        <w:pStyle w:val="TextBody"/>
        <w:bidi w:val="0"/>
        <w:spacing w:before="120" w:after="283"/>
        <w:jc w:val="both"/>
        <w:rPr>
          <w:rFonts w:ascii="Times New Roman" w:hAnsi="Times New Roman"/>
          <w:sz w:val="20"/>
        </w:rPr>
      </w:pPr>
      <w:r>
        <w:rPr>
          <w:rFonts w:ascii="Arial" w:hAnsi="Arial"/>
          <w:color w:val="000000"/>
          <w:sz w:val="20"/>
        </w:rPr>
        <w:t>In May 2015, the Company executed a lease agreement (the “5980 Horton Lease”) for office and laboratory space in Emeryville, California. The 5980 Horton Lease, as amended, expires in August 2026. As of March 31, 2026, the right-of-use asset and lease liability related to the 5980 Horton Lease were each</w:t>
      </w:r>
      <w:r>
        <w:rPr>
          <w:rFonts w:ascii="Times New Roman" w:hAnsi="Times New Roman"/>
          <w:color w:val="000000"/>
          <w:sz w:val="20"/>
        </w:rPr>
        <w:t xml:space="preserve"> </w:t>
      </w:r>
      <w:r>
        <w:rPr>
          <w:rFonts w:ascii="Arial" w:hAnsi="Arial"/>
          <w:color w:val="000000"/>
          <w:sz w:val="20"/>
        </w:rPr>
        <w:t>$0.2</w:t>
      </w:r>
      <w:r>
        <w:rPr>
          <w:rFonts w:ascii="Times New Roman" w:hAnsi="Times New Roman"/>
          <w:color w:val="000000"/>
          <w:sz w:val="20"/>
        </w:rPr>
        <w:t xml:space="preserve"> </w:t>
      </w:r>
      <w:r>
        <w:rPr>
          <w:rFonts w:ascii="Arial" w:hAnsi="Arial"/>
          <w:color w:val="000000"/>
          <w:sz w:val="20"/>
        </w:rPr>
        <w:t>million. As of December 31, 2025, the right-of-use asset and lease liability related to the 5980 Horton Lease were $0.3</w:t>
      </w:r>
      <w:r>
        <w:rPr>
          <w:rFonts w:ascii="Times New Roman" w:hAnsi="Times New Roman"/>
          <w:color w:val="000000"/>
          <w:sz w:val="20"/>
        </w:rPr>
        <w:t xml:space="preserve"> </w:t>
      </w:r>
      <w:r>
        <w:rPr>
          <w:rFonts w:ascii="Arial" w:hAnsi="Arial"/>
          <w:color w:val="000000"/>
          <w:sz w:val="20"/>
        </w:rPr>
        <w:t>million and $0.4</w:t>
      </w:r>
      <w:r>
        <w:rPr>
          <w:rFonts w:ascii="Times New Roman" w:hAnsi="Times New Roman"/>
          <w:color w:val="000000"/>
          <w:sz w:val="20"/>
        </w:rPr>
        <w:t xml:space="preserve"> </w:t>
      </w:r>
      <w:r>
        <w:rPr>
          <w:rFonts w:ascii="Arial" w:hAnsi="Arial"/>
          <w:color w:val="000000"/>
          <w:sz w:val="20"/>
        </w:rPr>
        <w:t>million, respectively.</w:t>
      </w:r>
      <w:r>
        <w:rPr>
          <w:rFonts w:ascii="Times New Roman" w:hAnsi="Times New Roman"/>
          <w:color w:val="000000"/>
          <w:sz w:val="20"/>
        </w:rPr>
        <w:t xml:space="preserve"> </w:t>
      </w:r>
    </w:p>
    <w:p>
      <w:pPr>
        <w:pStyle w:val="TextBody"/>
        <w:bidi w:val="0"/>
        <w:spacing w:before="240" w:after="283"/>
        <w:jc w:val="both"/>
        <w:rPr>
          <w:rFonts w:ascii="Arial" w:hAnsi="Arial"/>
          <w:i/>
          <w:color w:val="000000"/>
          <w:sz w:val="20"/>
        </w:rPr>
      </w:pPr>
      <w:r>
        <w:rPr>
          <w:rFonts w:ascii="Arial" w:hAnsi="Arial"/>
          <w:i/>
          <w:color w:val="000000"/>
          <w:sz w:val="20"/>
        </w:rPr>
        <w:t>5858 Horton Street Lease and Expansion</w:t>
      </w:r>
    </w:p>
    <w:p>
      <w:pPr>
        <w:pStyle w:val="TextBody"/>
        <w:bidi w:val="0"/>
        <w:spacing w:before="240" w:after="283"/>
        <w:jc w:val="both"/>
        <w:rPr>
          <w:rFonts w:ascii="Times New Roman" w:hAnsi="Times New Roman"/>
          <w:sz w:val="20"/>
        </w:rPr>
      </w:pPr>
      <w:r>
        <w:rPr>
          <w:rFonts w:ascii="Arial" w:hAnsi="Arial"/>
          <w:color w:val="000000"/>
          <w:sz w:val="20"/>
        </w:rPr>
        <w:t>In October 2018, the Company executed a lease agreement (the “5858 Horton Lease”) for office and laboratory facilities in Emeryville, California. The 5858 Horton Lease, as amended in 2019, 2021 and 2022, consists of approximately 40,802</w:t>
      </w:r>
      <w:r>
        <w:rPr>
          <w:rFonts w:ascii="Times New Roman" w:hAnsi="Times New Roman"/>
          <w:color w:val="000000"/>
          <w:sz w:val="20"/>
        </w:rPr>
        <w:t xml:space="preserve"> </w:t>
      </w:r>
      <w:r>
        <w:rPr>
          <w:rFonts w:ascii="Arial" w:hAnsi="Arial"/>
          <w:color w:val="000000"/>
          <w:sz w:val="20"/>
        </w:rPr>
        <w:t>square feet of space and has a lease term through December 31, 2029. In July 2024, the Company extended the term of the 5858 Horton Lease for a period of twelve months</w:t>
      </w:r>
      <w:r>
        <w:rPr>
          <w:rFonts w:ascii="Times New Roman" w:hAnsi="Times New Roman"/>
          <w:color w:val="000000"/>
          <w:sz w:val="20"/>
        </w:rPr>
        <w:t xml:space="preserve"> </w:t>
      </w:r>
      <w:r>
        <w:rPr>
          <w:rFonts w:ascii="Arial" w:hAnsi="Arial"/>
          <w:color w:val="000000"/>
          <w:sz w:val="20"/>
        </w:rPr>
        <w:t xml:space="preserve">to December 31, 2030. In accordance with ASC Topic 842, </w:t>
      </w:r>
      <w:r>
        <w:rPr>
          <w:rFonts w:ascii="Arial" w:hAnsi="Arial"/>
          <w:i/>
          <w:color w:val="000000"/>
          <w:sz w:val="20"/>
        </w:rPr>
        <w:t>Leases</w:t>
      </w:r>
      <w:r>
        <w:rPr>
          <w:rFonts w:ascii="Arial" w:hAnsi="Arial"/>
          <w:color w:val="000000"/>
          <w:sz w:val="20"/>
        </w:rPr>
        <w:t>, the Company accounted for the extension as a modification and remeasured the lease liability based on the new lease term and an updated, estimated incremental borrowing rate of 10.75%. The modification resulted in an increase to the lease liability of $0.8</w:t>
      </w:r>
      <w:r>
        <w:rPr>
          <w:rFonts w:ascii="Times New Roman" w:hAnsi="Times New Roman"/>
          <w:color w:val="000000"/>
          <w:sz w:val="20"/>
        </w:rPr>
        <w:t xml:space="preserve"> </w:t>
      </w:r>
      <w:r>
        <w:rPr>
          <w:rFonts w:ascii="Arial" w:hAnsi="Arial"/>
          <w:color w:val="000000"/>
          <w:sz w:val="20"/>
        </w:rPr>
        <w:t>million and a corresponding increase to the carrying value of the right-of-use asset. No</w:t>
      </w:r>
      <w:r>
        <w:rPr>
          <w:rFonts w:ascii="Times New Roman" w:hAnsi="Times New Roman"/>
          <w:color w:val="000000"/>
          <w:sz w:val="20"/>
        </w:rPr>
        <w:t xml:space="preserve"> </w:t>
      </w:r>
      <w:r>
        <w:rPr>
          <w:rFonts w:ascii="Arial" w:hAnsi="Arial"/>
          <w:color w:val="000000"/>
          <w:sz w:val="20"/>
        </w:rPr>
        <w:t>gain or loss was recognized upon the modification. As of March 31, 2026, the right-of-use asset and lease liability related to the 5858 Horton Lease were $8.5</w:t>
      </w:r>
      <w:r>
        <w:rPr>
          <w:rFonts w:ascii="Times New Roman" w:hAnsi="Times New Roman"/>
          <w:color w:val="000000"/>
          <w:sz w:val="20"/>
        </w:rPr>
        <w:t xml:space="preserve"> </w:t>
      </w:r>
      <w:r>
        <w:rPr>
          <w:rFonts w:ascii="Arial" w:hAnsi="Arial"/>
          <w:color w:val="000000"/>
          <w:sz w:val="20"/>
        </w:rPr>
        <w:t>million and $10.8</w:t>
      </w:r>
      <w:r>
        <w:rPr>
          <w:rFonts w:ascii="Times New Roman" w:hAnsi="Times New Roman"/>
          <w:color w:val="000000"/>
          <w:sz w:val="20"/>
        </w:rPr>
        <w:t xml:space="preserve"> </w:t>
      </w:r>
      <w:r>
        <w:rPr>
          <w:rFonts w:ascii="Arial" w:hAnsi="Arial"/>
          <w:color w:val="000000"/>
          <w:sz w:val="20"/>
        </w:rPr>
        <w:t>million, respectively. As of December 31, 2025, the right-of-use asset and lease liability related to the 5858 Horton Lease were $8.8</w:t>
      </w:r>
      <w:r>
        <w:rPr>
          <w:rFonts w:ascii="Times New Roman" w:hAnsi="Times New Roman"/>
          <w:color w:val="000000"/>
          <w:sz w:val="20"/>
        </w:rPr>
        <w:t xml:space="preserve"> </w:t>
      </w:r>
      <w:r>
        <w:rPr>
          <w:rFonts w:ascii="Arial" w:hAnsi="Arial"/>
          <w:color w:val="000000"/>
          <w:sz w:val="20"/>
        </w:rPr>
        <w:t>million and $11.2</w:t>
      </w:r>
      <w:r>
        <w:rPr>
          <w:rFonts w:ascii="Times New Roman" w:hAnsi="Times New Roman"/>
          <w:color w:val="000000"/>
          <w:sz w:val="20"/>
        </w:rPr>
        <w:t xml:space="preserve"> </w:t>
      </w:r>
      <w:r>
        <w:rPr>
          <w:rFonts w:ascii="Arial" w:hAnsi="Arial"/>
          <w:color w:val="000000"/>
          <w:sz w:val="20"/>
        </w:rPr>
        <w:t>million, respectively.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July 2024, the Company also entered into a lease agreement for additional office and laboratory space in Emeryville, California (the “5858 Horton Expansion Lease”). The 5858 Horton Expansion Lease consists of approximately 32,038</w:t>
      </w:r>
      <w:r>
        <w:rPr>
          <w:rFonts w:ascii="Times New Roman" w:hAnsi="Times New Roman"/>
          <w:color w:val="000000"/>
          <w:sz w:val="20"/>
        </w:rPr>
        <w:t xml:space="preserve"> </w:t>
      </w:r>
      <w:r>
        <w:rPr>
          <w:rFonts w:ascii="Arial" w:hAnsi="Arial"/>
          <w:color w:val="000000"/>
          <w:sz w:val="20"/>
        </w:rPr>
        <w:t>square feet of space and commenced on September 1, 2024</w:t>
      </w:r>
      <w:r>
        <w:rPr>
          <w:rFonts w:ascii="Times New Roman" w:hAnsi="Times New Roman"/>
          <w:color w:val="000000"/>
          <w:sz w:val="20"/>
        </w:rPr>
        <w:t xml:space="preserve"> </w:t>
      </w:r>
      <w:r>
        <w:rPr>
          <w:rFonts w:ascii="Arial" w:hAnsi="Arial"/>
          <w:color w:val="000000"/>
          <w:sz w:val="20"/>
        </w:rPr>
        <w:t>and has a lease term through December 31, 2030. As of March 31, 2026, the right-of-use asset and lease liability related to the 5858 Horton Expansion Lease were $7.5</w:t>
      </w:r>
      <w:r>
        <w:rPr>
          <w:rFonts w:ascii="Times New Roman" w:hAnsi="Times New Roman"/>
          <w:color w:val="000000"/>
          <w:sz w:val="20"/>
        </w:rPr>
        <w:t xml:space="preserve"> </w:t>
      </w:r>
      <w:r>
        <w:rPr>
          <w:rFonts w:ascii="Arial" w:hAnsi="Arial"/>
          <w:color w:val="000000"/>
          <w:sz w:val="20"/>
        </w:rPr>
        <w:t>million and $8.3</w:t>
      </w:r>
      <w:r>
        <w:rPr>
          <w:rFonts w:ascii="Times New Roman" w:hAnsi="Times New Roman"/>
          <w:color w:val="000000"/>
          <w:sz w:val="20"/>
        </w:rPr>
        <w:t xml:space="preserve"> </w:t>
      </w:r>
      <w:r>
        <w:rPr>
          <w:rFonts w:ascii="Arial" w:hAnsi="Arial"/>
          <w:color w:val="000000"/>
          <w:sz w:val="20"/>
        </w:rPr>
        <w:t>million, respectively. As of December 31, 2025, the right-of-use asset and lease liability related to the 5858 Horton Expansion Lease were $7.8</w:t>
      </w:r>
      <w:r>
        <w:rPr>
          <w:rFonts w:ascii="Times New Roman" w:hAnsi="Times New Roman"/>
          <w:color w:val="000000"/>
          <w:sz w:val="20"/>
        </w:rPr>
        <w:t xml:space="preserve"> </w:t>
      </w:r>
      <w:r>
        <w:rPr>
          <w:rFonts w:ascii="Arial" w:hAnsi="Arial"/>
          <w:color w:val="000000"/>
          <w:sz w:val="20"/>
        </w:rPr>
        <w:t>million and $8.6</w:t>
      </w:r>
      <w:r>
        <w:rPr>
          <w:rFonts w:ascii="Times New Roman" w:hAnsi="Times New Roman"/>
          <w:color w:val="000000"/>
          <w:sz w:val="20"/>
        </w:rPr>
        <w:t xml:space="preserve"> </w:t>
      </w:r>
      <w:r>
        <w:rPr>
          <w:rFonts w:ascii="Arial" w:hAnsi="Arial"/>
          <w:color w:val="000000"/>
          <w:sz w:val="20"/>
        </w:rPr>
        <w:t>million, respectively. The discount rate used to measure the lease liability was 11.02%.</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i/>
          <w:color w:val="000000"/>
          <w:sz w:val="20"/>
        </w:rPr>
        <w:t>Emeryville Warehouse Lease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January 2024, the Company entered into a lease agreement for warehouse space in Emeryville, California (the “Warehouse Lease”). The Warehouse Lease commenced on August 1, 2024. The Warehouse Lease consists of approximately 7,800</w:t>
      </w:r>
      <w:r>
        <w:rPr>
          <w:rFonts w:ascii="Times New Roman" w:hAnsi="Times New Roman"/>
          <w:color w:val="000000"/>
          <w:sz w:val="20"/>
        </w:rPr>
        <w:t xml:space="preserve"> </w:t>
      </w:r>
      <w:r>
        <w:rPr>
          <w:rFonts w:ascii="Arial" w:hAnsi="Arial"/>
          <w:color w:val="000000"/>
          <w:sz w:val="20"/>
        </w:rPr>
        <w:t>square feet of warehouse space and has a lease term through December 31, 2029. As of March 31, 2026, the right-of-use asset and lease liability related to the Warehouse Lease were each $1.2</w:t>
      </w:r>
      <w:r>
        <w:rPr>
          <w:rFonts w:ascii="Times New Roman" w:hAnsi="Times New Roman"/>
          <w:color w:val="000000"/>
          <w:sz w:val="20"/>
        </w:rPr>
        <w:t xml:space="preserve"> </w:t>
      </w:r>
      <w:r>
        <w:rPr>
          <w:rFonts w:ascii="Arial" w:hAnsi="Arial"/>
          <w:color w:val="000000"/>
          <w:sz w:val="20"/>
        </w:rPr>
        <w:t>million. As of December 31, 2025, the right-of-use asset and lease liability related to the Warehouse Lease were each $1.2</w:t>
      </w:r>
      <w:r>
        <w:rPr>
          <w:rFonts w:ascii="Times New Roman" w:hAnsi="Times New Roman"/>
          <w:color w:val="000000"/>
          <w:sz w:val="20"/>
        </w:rPr>
        <w:t xml:space="preserve"> </w:t>
      </w:r>
      <w:r>
        <w:rPr>
          <w:rFonts w:ascii="Arial" w:hAnsi="Arial"/>
          <w:color w:val="000000"/>
          <w:sz w:val="20"/>
        </w:rPr>
        <w:t>million. The discount rate used to measure the lease liability related to the Warehouse Lease was 10.69%.</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following table summarizes the components of lease expense, which are included in operating expenses in the Company’s condensed statements of operations (in thousands):</w:t>
      </w:r>
      <w:r>
        <w:rPr>
          <w:rFonts w:ascii="Times New Roman" w:hAnsi="Times New Roman"/>
          <w:color w:val="000000"/>
          <w:sz w:val="20"/>
        </w:rPr>
        <w:t xml:space="preserve"> </w:t>
      </w:r>
    </w:p>
    <w:p>
      <w:pPr>
        <w:pStyle w:val="TextBody"/>
        <w:bidi w:val="0"/>
        <w:jc w:val="both"/>
        <w:rPr/>
      </w:pPr>
      <w:r>
        <w:rPr/>
        <w:t> </w:t>
      </w:r>
    </w:p>
    <w:tbl>
      <w:tblPr>
        <w:tblW w:w="5086" w:type="dxa"/>
        <w:jc w:val="left"/>
        <w:tblInd w:w="0" w:type="dxa"/>
        <w:tblLayout w:type="fixed"/>
        <w:tblCellMar>
          <w:top w:w="28" w:type="dxa"/>
          <w:left w:w="28" w:type="dxa"/>
          <w:bottom w:w="28" w:type="dxa"/>
          <w:right w:w="28" w:type="dxa"/>
        </w:tblCellMar>
      </w:tblPr>
      <w:tblGrid>
        <w:gridCol w:w="1921"/>
        <w:gridCol w:w="146"/>
        <w:gridCol w:w="285"/>
        <w:gridCol w:w="792"/>
        <w:gridCol w:w="197"/>
        <w:gridCol w:w="197"/>
        <w:gridCol w:w="285"/>
        <w:gridCol w:w="792"/>
        <w:gridCol w:w="47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1,344</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1,344</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Variable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2,020</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2,107</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color w:val="000000"/>
          <w:sz w:val="20"/>
        </w:rPr>
      </w:pPr>
      <w:r>
        <w:rPr>
          <w:rFonts w:ascii="Arial" w:hAnsi="Arial"/>
          <w:color w:val="000000"/>
          <w:sz w:val="20"/>
        </w:rPr>
        <w:t>Variable lease payments include amounts relating to common area maintenance and are recognized in the condensed statements of operations as incurred.</w:t>
      </w:r>
    </w:p>
    <w:p>
      <w:pPr>
        <w:pStyle w:val="TextBody"/>
        <w:bidi w:val="0"/>
        <w:spacing w:before="240" w:after="283"/>
        <w:jc w:val="both"/>
        <w:rPr>
          <w:rFonts w:ascii="Times New Roman" w:hAnsi="Times New Roman"/>
          <w:sz w:val="20"/>
        </w:rPr>
      </w:pPr>
      <w:r>
        <w:rPr>
          <w:rFonts w:ascii="Arial" w:hAnsi="Arial"/>
          <w:color w:val="000000"/>
          <w:sz w:val="20"/>
        </w:rPr>
        <w:t>Cash paid for amounts included in the measurement of the Company’s operating lease liabilities and presented within cash used in operating activities in the condensed statements of cash flows was $1.4</w:t>
      </w:r>
      <w:r>
        <w:rPr>
          <w:rFonts w:ascii="Times New Roman" w:hAnsi="Times New Roman"/>
          <w:color w:val="000000"/>
          <w:sz w:val="20"/>
        </w:rPr>
        <w:t xml:space="preserve"> </w:t>
      </w:r>
      <w:r>
        <w:rPr>
          <w:rFonts w:ascii="Arial" w:hAnsi="Arial"/>
          <w:color w:val="000000"/>
          <w:sz w:val="20"/>
        </w:rPr>
        <w:t>million for each of the three months ended March 31, 2026 and 2025.</w:t>
      </w:r>
    </w:p>
    <w:p>
      <w:pPr>
        <w:pStyle w:val="TextBody"/>
        <w:bidi w:val="0"/>
        <w:spacing w:before="240" w:after="283"/>
        <w:jc w:val="both"/>
        <w:rPr>
          <w:rFonts w:ascii="Arial" w:hAnsi="Arial"/>
          <w:color w:val="000000"/>
          <w:sz w:val="20"/>
        </w:rPr>
      </w:pPr>
      <w:r>
        <w:rPr>
          <w:rFonts w:ascii="Arial" w:hAnsi="Arial"/>
          <w:color w:val="000000"/>
          <w:sz w:val="20"/>
        </w:rPr>
        <w:t>The following table summarizes supplemental information related to operating leases:</w:t>
      </w:r>
    </w:p>
    <w:p>
      <w:pPr>
        <w:pStyle w:val="TextBody"/>
        <w:bidi w:val="0"/>
        <w:jc w:val="both"/>
        <w:rPr/>
      </w:pPr>
      <w:r>
        <w:rPr/>
        <w:t> </w:t>
      </w:r>
    </w:p>
    <w:tbl>
      <w:tblPr>
        <w:tblW w:w="8230" w:type="dxa"/>
        <w:jc w:val="left"/>
        <w:tblInd w:w="0" w:type="dxa"/>
        <w:tblLayout w:type="fixed"/>
        <w:tblCellMar>
          <w:top w:w="28" w:type="dxa"/>
          <w:left w:w="28" w:type="dxa"/>
          <w:bottom w:w="28" w:type="dxa"/>
          <w:right w:w="28" w:type="dxa"/>
        </w:tblCellMar>
      </w:tblPr>
      <w:tblGrid>
        <w:gridCol w:w="4486"/>
        <w:gridCol w:w="146"/>
        <w:gridCol w:w="293"/>
        <w:gridCol w:w="967"/>
        <w:gridCol w:w="286"/>
        <w:gridCol w:w="146"/>
        <w:gridCol w:w="365"/>
        <w:gridCol w:w="1210"/>
        <w:gridCol w:w="331"/>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 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remaining lease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240" w:after="283"/>
        <w:jc w:val="both"/>
        <w:rPr>
          <w:rFonts w:ascii="Arial" w:hAnsi="Arial"/>
          <w:color w:val="000000"/>
          <w:sz w:val="20"/>
        </w:rPr>
      </w:pPr>
      <w:r>
        <w:rPr>
          <w:rFonts w:ascii="Arial" w:hAnsi="Arial"/>
          <w:color w:val="000000"/>
          <w:sz w:val="20"/>
        </w:rPr>
        <w:t>The following table summarizes the maturities of lease liabilities as of March 31, 2026 (in thousands):</w:t>
      </w:r>
    </w:p>
    <w:p>
      <w:pPr>
        <w:pStyle w:val="TextBody"/>
        <w:bidi w:val="0"/>
        <w:jc w:val="both"/>
        <w:rPr/>
      </w:pPr>
      <w:r>
        <w:rPr/>
        <w:t> </w:t>
      </w:r>
    </w:p>
    <w:tbl>
      <w:tblPr>
        <w:tblW w:w="5935" w:type="dxa"/>
        <w:jc w:val="left"/>
        <w:tblInd w:w="0" w:type="dxa"/>
        <w:tblLayout w:type="fixed"/>
        <w:tblCellMar>
          <w:top w:w="28" w:type="dxa"/>
          <w:left w:w="28" w:type="dxa"/>
          <w:bottom w:w="28" w:type="dxa"/>
          <w:right w:w="28" w:type="dxa"/>
        </w:tblCellMar>
      </w:tblPr>
      <w:tblGrid>
        <w:gridCol w:w="4536"/>
        <w:gridCol w:w="146"/>
        <w:gridCol w:w="211"/>
        <w:gridCol w:w="691"/>
        <w:gridCol w:w="351"/>
      </w:tblGrid>
      <w:tr>
        <w:trPr/>
        <w:tc>
          <w:tcPr>
            <w:tcW w:w="4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2026 (remaining nine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4,165</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5,350</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5,510</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5,675</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5,455</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Total future minimum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26,155</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Amount representing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(5,620</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Present value of future minimum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20,535</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Current portion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(5,486</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Long-term portion of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15,049</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color w:val="000000"/>
          <w:sz w:val="20"/>
        </w:rPr>
        <w:t>Indemnification Agreements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In the ordinary course of business, the Company enters into agreements that may include indemnification provisions, such as with vendors and other parties. Pursuant to such agreements, the Company may indemnify, hold harmless and defend an indemnified party for losses suffered or incurred by the indemnified party. Some of the provisions will limit losses to those arising from third-party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has also entered into indemnification agreements with its directors and officers that require the Company, among other things, to indemnify them against certain liabilities that may arise by reason of their status or service as directors or officers to the fullest extent permitted by Delaware corporate law. The Company currently maintains directors’ and officers’ liability insurance that would generally enable it to recover a portion of any future amounts paid. The Company believes the estimated fair value of its indemnification agreements in excess of applicable insurance coverage is not material.</w:t>
      </w:r>
    </w:p>
    <w:p>
      <w:pPr>
        <w:pStyle w:val="TextBody"/>
        <w:bidi w:val="0"/>
        <w:spacing w:before="240" w:after="283"/>
        <w:jc w:val="both"/>
        <w:rPr>
          <w:rFonts w:ascii="Times New Roman" w:hAnsi="Times New Roman"/>
          <w:sz w:val="20"/>
        </w:rPr>
      </w:pPr>
      <w:r>
        <w:rPr>
          <w:rFonts w:ascii="Arial" w:hAnsi="Arial"/>
          <w:b/>
          <w:color w:val="000000"/>
          <w:sz w:val="20"/>
        </w:rPr>
        <w:t>Contractual Obligations and Commitments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Company enters into various agreements in the ordinary course of business, such as those with suppliers, CROs, CDMOs and clinical trial sites. These contracts generally provide for termination on notice or may have a potential termination fee if a purchase order is canceled within a specified time. The total value of non-cancellable obligations under contracts was $7.0</w:t>
      </w:r>
      <w:r>
        <w:rPr>
          <w:rFonts w:ascii="Times New Roman" w:hAnsi="Times New Roman"/>
          <w:color w:val="000000"/>
          <w:sz w:val="20"/>
        </w:rPr>
        <w:t xml:space="preserve"> </w:t>
      </w:r>
      <w:r>
        <w:rPr>
          <w:rFonts w:ascii="Arial" w:hAnsi="Arial"/>
          <w:color w:val="000000"/>
          <w:sz w:val="20"/>
        </w:rPr>
        <w:t>million and $4.0</w:t>
      </w:r>
      <w:r>
        <w:rPr>
          <w:rFonts w:ascii="Times New Roman" w:hAnsi="Times New Roman"/>
          <w:color w:val="000000"/>
          <w:sz w:val="20"/>
        </w:rPr>
        <w:t xml:space="preserve"> </w:t>
      </w:r>
      <w:r>
        <w:rPr>
          <w:rFonts w:ascii="Arial" w:hAnsi="Arial"/>
          <w:color w:val="000000"/>
          <w:sz w:val="20"/>
        </w:rPr>
        <w:t>million as of March 31, 2026 and December 31, 2025, respectively. This presentation of non-cancellable purchase obligations does not include any estimates of potential reduction of such liabilities related to mitigation obligations of the counter-parties in the event of cancellation under the terms of the Company's engagements.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color w:val="000000"/>
          <w:sz w:val="20"/>
        </w:rPr>
        <w:t>Legal Proceedings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From time to time, the Company may become involved in legal proceedings arising from the ordinary course of its business. If applicable, the Company records a legal liability when it believes that it is both probable that a liability may be imputed, and the amount of the liability can be reasonably estimated. Significant judgment by the Company is required to determine both probability and the estimated amount. There are no material legal proceedings outstanding at March 31, 2026.</w:t>
      </w:r>
      <w:r>
        <w:rPr>
          <w:rFonts w:ascii="Times New Roman" w:hAnsi="Times New Roman"/>
          <w:color w:val="000000"/>
          <w:sz w:val="20"/>
        </w:rPr>
        <w:t xml:space="preserve"> </w:t>
      </w:r>
    </w:p>
    <w:p>
      <w:pPr>
        <w:pStyle w:val="TextBody"/>
        <w:bidi w:val="0"/>
        <w:spacing w:before="240" w:after="283"/>
        <w:jc w:val="left"/>
        <w:rPr>
          <w:rFonts w:ascii="Arial" w:hAnsi="Arial"/>
          <w:b/>
          <w:i/>
          <w:color w:val="000000"/>
          <w:sz w:val="20"/>
        </w:rPr>
      </w:pPr>
      <w:r>
        <w:rPr>
          <w:rFonts w:ascii="Arial" w:hAnsi="Arial"/>
          <w:b/>
          <w:i/>
          <w:color w:val="000000"/>
          <w:sz w:val="20"/>
        </w:rPr>
        <w:t>9. Income Taxes</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For the three months ended March 31, 2026 and 2025, the Company did not record a federal or state income tax provision due to its recurring net losses. In addition, the Company has taken a full valuation allowance against its net deferred tax assets as the Company believes it is not more likely than not that the benefit will be realized.</w:t>
      </w:r>
    </w:p>
    <w:p>
      <w:pPr>
        <w:pStyle w:val="TextBody"/>
        <w:bidi w:val="0"/>
        <w:spacing w:before="240" w:after="283"/>
        <w:jc w:val="both"/>
        <w:rPr>
          <w:rFonts w:ascii="Times New Roman" w:hAnsi="Times New Roman"/>
          <w:sz w:val="20"/>
        </w:rPr>
      </w:pPr>
      <w:r>
        <w:rPr>
          <w:rFonts w:ascii="Arial" w:hAnsi="Arial"/>
          <w:b/>
          <w:i/>
          <w:color w:val="000000"/>
          <w:sz w:val="20"/>
        </w:rPr>
        <w:t>10. Common Stock</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As of March 31, 2026 and December 31, 2025, the Company’s certificate of incorporation authorized the Company to issue 300,000,000</w:t>
      </w:r>
      <w:r>
        <w:rPr>
          <w:rFonts w:ascii="Times New Roman" w:hAnsi="Times New Roman"/>
          <w:color w:val="000000"/>
          <w:sz w:val="20"/>
        </w:rPr>
        <w:t xml:space="preserve"> </w:t>
      </w:r>
      <w:r>
        <w:rPr>
          <w:rFonts w:ascii="Arial" w:hAnsi="Arial"/>
          <w:color w:val="000000"/>
          <w:sz w:val="20"/>
        </w:rPr>
        <w:t>shares of common stock, at the par value of $0.0001</w:t>
      </w:r>
      <w:r>
        <w:rPr>
          <w:rFonts w:ascii="Times New Roman" w:hAnsi="Times New Roman"/>
          <w:color w:val="000000"/>
          <w:sz w:val="20"/>
        </w:rPr>
        <w:t xml:space="preserve"> </w:t>
      </w:r>
      <w:r>
        <w:rPr>
          <w:rFonts w:ascii="Arial" w:hAnsi="Arial"/>
          <w:color w:val="000000"/>
          <w:sz w:val="20"/>
        </w:rPr>
        <w:t>per share. The holder of each share of common stock is entitled to one vote per share.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Common stockholders are entitled to dividends, if and when declared by the board of directors. To date, no</w:t>
      </w:r>
      <w:r>
        <w:rPr>
          <w:rFonts w:ascii="Times New Roman" w:hAnsi="Times New Roman"/>
          <w:color w:val="000000"/>
          <w:sz w:val="20"/>
        </w:rPr>
        <w:t xml:space="preserve"> </w:t>
      </w:r>
      <w:r>
        <w:rPr>
          <w:rFonts w:ascii="Arial" w:hAnsi="Arial"/>
          <w:color w:val="000000"/>
          <w:sz w:val="20"/>
        </w:rPr>
        <w:t>dividends on common stock have been declared by the board of directors.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The Company has reserved common stock, on an as-converted basis, for future issuance as follows:</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476"/>
        <w:gridCol w:w="146"/>
        <w:gridCol w:w="150"/>
        <w:gridCol w:w="1107"/>
        <w:gridCol w:w="146"/>
        <w:gridCol w:w="146"/>
        <w:gridCol w:w="187"/>
        <w:gridCol w:w="1374"/>
        <w:gridCol w:w="473"/>
      </w:tblGrid>
      <w:tr>
        <w:trPr/>
        <w:tc>
          <w:tcPr>
            <w:tcW w:w="6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6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2025</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Issuance of common stock under the 2020 Equity Incentive Award</w:t>
              <w:br/>
              <w:t>Plan and 2025 Employment Inducement Award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3,096,721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2,506,434</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Issuance of common stock under the 2020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758,854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182,775</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 xml:space="preserve">Exercise of stock options issued and outstanding and future </w:t>
              <w:b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13,131,944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10,157,578</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Exercise of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16,935,665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10,335,665</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Exercise of common stock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30,000</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647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common stock reserved for future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33,953,184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23,212,452</w:t>
            </w:r>
          </w:p>
        </w:tc>
        <w:tc>
          <w:tcPr>
            <w:tcW w:w="4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Arial" w:hAnsi="Arial"/>
          <w:i/>
          <w:color w:val="000000"/>
          <w:sz w:val="20"/>
        </w:rPr>
        <w:t xml:space="preserve">Funding Agreement with CFF </w:t>
      </w:r>
      <w:r>
        <w:rPr>
          <w:rFonts w:ascii="Times New Roman" w:hAnsi="Times New Roman"/>
          <w:color w:val="000000"/>
          <w:sz w:val="20"/>
        </w:rPr>
        <w:t xml:space="preserve">— </w:t>
      </w:r>
      <w:r>
        <w:rPr>
          <w:rFonts w:ascii="Arial" w:hAnsi="Arial"/>
          <w:color w:val="000000"/>
          <w:sz w:val="20"/>
        </w:rPr>
        <w:t>In April 2020, CFF made a $10.0</w:t>
      </w:r>
      <w:r>
        <w:rPr>
          <w:rFonts w:ascii="Times New Roman" w:hAnsi="Times New Roman"/>
          <w:color w:val="000000"/>
          <w:sz w:val="20"/>
        </w:rPr>
        <w:t xml:space="preserve"> </w:t>
      </w:r>
      <w:r>
        <w:rPr>
          <w:rFonts w:ascii="Arial" w:hAnsi="Arial"/>
          <w:color w:val="000000"/>
          <w:sz w:val="20"/>
        </w:rPr>
        <w:t>million investment in the Company’s Series C redeemable convertible preferred stock financing. In return for the investment, CFF received shares of Series C redeemable convertible preferred stock, and the Company and CFF entered into a Funding Agreement (the “Funding Agreement”). Pursuant to the terms of the Funding Agreement, except in the event of a technical failure, the $10.0</w:t>
      </w:r>
      <w:r>
        <w:rPr>
          <w:rFonts w:ascii="Times New Roman" w:hAnsi="Times New Roman"/>
          <w:color w:val="000000"/>
          <w:sz w:val="20"/>
        </w:rPr>
        <w:t xml:space="preserve"> </w:t>
      </w:r>
      <w:r>
        <w:rPr>
          <w:rFonts w:ascii="Arial" w:hAnsi="Arial"/>
          <w:color w:val="000000"/>
          <w:sz w:val="20"/>
        </w:rPr>
        <w:t>million received from CFF will be used to advance the development program for 4D-710, the Company’s lead product in cystic fibrosis, or any other therapeutic approved by the Program Advisory Group (“PAG”) to alleviate pulmonary complications of cystic fibrosis (the “Funding Agreement Product”).</w:t>
      </w:r>
    </w:p>
    <w:p>
      <w:pPr>
        <w:pStyle w:val="TextBody"/>
        <w:bidi w:val="0"/>
        <w:spacing w:before="240" w:after="283"/>
        <w:jc w:val="both"/>
        <w:rPr>
          <w:rFonts w:ascii="Times New Roman" w:hAnsi="Times New Roman"/>
          <w:sz w:val="20"/>
        </w:rPr>
      </w:pPr>
      <w:r>
        <w:rPr>
          <w:rFonts w:ascii="Arial" w:hAnsi="Arial"/>
          <w:color w:val="000000"/>
          <w:sz w:val="20"/>
        </w:rPr>
        <w:t>CFF committed to provide an additional $4.0</w:t>
      </w:r>
      <w:r>
        <w:rPr>
          <w:rFonts w:ascii="Times New Roman" w:hAnsi="Times New Roman"/>
          <w:color w:val="000000"/>
          <w:sz w:val="20"/>
        </w:rPr>
        <w:t xml:space="preserve"> </w:t>
      </w:r>
      <w:r>
        <w:rPr>
          <w:rFonts w:ascii="Arial" w:hAnsi="Arial"/>
          <w:color w:val="000000"/>
          <w:sz w:val="20"/>
        </w:rPr>
        <w:t>million of funding upon acceptance of an IND application or its equivalent to allow for human testing of the Funding Agreement Product (“Acceptance”).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October 2021, the IND was cleared by the U.S. Food and Drug Administration and CFF made the additional investment of $4.0</w:t>
      </w:r>
      <w:r>
        <w:rPr>
          <w:rFonts w:ascii="Times New Roman" w:hAnsi="Times New Roman"/>
          <w:color w:val="000000"/>
          <w:sz w:val="20"/>
        </w:rPr>
        <w:t xml:space="preserve"> </w:t>
      </w:r>
      <w:r>
        <w:rPr>
          <w:rFonts w:ascii="Arial" w:hAnsi="Arial"/>
          <w:color w:val="000000"/>
          <w:sz w:val="20"/>
        </w:rPr>
        <w:t>million in cash for the issuance of 125,715</w:t>
      </w:r>
      <w:r>
        <w:rPr>
          <w:rFonts w:ascii="Times New Roman" w:hAnsi="Times New Roman"/>
          <w:color w:val="000000"/>
          <w:sz w:val="20"/>
        </w:rPr>
        <w:t xml:space="preserve"> </w:t>
      </w:r>
      <w:r>
        <w:rPr>
          <w:rFonts w:ascii="Arial" w:hAnsi="Arial"/>
          <w:color w:val="000000"/>
          <w:sz w:val="20"/>
        </w:rPr>
        <w:t>shares of the Company’s common stock to CFF.</w:t>
      </w:r>
    </w:p>
    <w:p>
      <w:pPr>
        <w:pStyle w:val="TextBody"/>
        <w:bidi w:val="0"/>
        <w:spacing w:before="240" w:after="283"/>
        <w:jc w:val="both"/>
        <w:rPr>
          <w:rFonts w:ascii="Times New Roman" w:hAnsi="Times New Roman"/>
          <w:sz w:val="20"/>
        </w:rPr>
      </w:pPr>
      <w:r>
        <w:rPr>
          <w:rFonts w:ascii="Arial" w:hAnsi="Arial"/>
          <w:color w:val="000000"/>
          <w:sz w:val="20"/>
        </w:rPr>
        <w:t>The Company was committed to providing an amount equal to the funding provided by CFF to be used solely to advance the Funding Agreement Product. As of March 31, 2026, the funding commitment has been fulfilled. Under the terms of the Funding Agreement, neither the $10.0</w:t>
      </w:r>
      <w:r>
        <w:rPr>
          <w:rFonts w:ascii="Times New Roman" w:hAnsi="Times New Roman"/>
          <w:color w:val="000000"/>
          <w:sz w:val="20"/>
        </w:rPr>
        <w:t xml:space="preserve"> </w:t>
      </w:r>
      <w:r>
        <w:rPr>
          <w:rFonts w:ascii="Arial" w:hAnsi="Arial"/>
          <w:color w:val="000000"/>
          <w:sz w:val="20"/>
        </w:rPr>
        <w:t>million investment in the Series C redeemable convertible preferred stock, which converted to common stock as of December 31, 2020, nor the $4.0</w:t>
      </w:r>
      <w:r>
        <w:rPr>
          <w:rFonts w:ascii="Times New Roman" w:hAnsi="Times New Roman"/>
          <w:color w:val="000000"/>
          <w:sz w:val="20"/>
        </w:rPr>
        <w:t xml:space="preserve"> </w:t>
      </w:r>
      <w:r>
        <w:rPr>
          <w:rFonts w:ascii="Arial" w:hAnsi="Arial"/>
          <w:color w:val="000000"/>
          <w:sz w:val="20"/>
        </w:rPr>
        <w:t>million of funding upon Acceptance are restricted as to withdrawal or usage.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CFF purchased 776,398</w:t>
      </w:r>
      <w:r>
        <w:rPr>
          <w:rFonts w:ascii="Times New Roman" w:hAnsi="Times New Roman"/>
          <w:color w:val="000000"/>
          <w:sz w:val="20"/>
        </w:rPr>
        <w:t xml:space="preserve"> </w:t>
      </w:r>
      <w:r>
        <w:rPr>
          <w:rFonts w:ascii="Arial" w:hAnsi="Arial"/>
          <w:color w:val="000000"/>
          <w:sz w:val="20"/>
        </w:rPr>
        <w:t>shares of the Company's common stock for $7.5</w:t>
      </w:r>
      <w:r>
        <w:rPr>
          <w:rFonts w:ascii="Times New Roman" w:hAnsi="Times New Roman"/>
          <w:color w:val="000000"/>
          <w:sz w:val="20"/>
        </w:rPr>
        <w:t xml:space="preserve"> </w:t>
      </w:r>
      <w:r>
        <w:rPr>
          <w:rFonts w:ascii="Arial" w:hAnsi="Arial"/>
          <w:color w:val="000000"/>
          <w:sz w:val="20"/>
        </w:rPr>
        <w:t>million in October 2025. The Company will use the proceeds of this investment to support continued development of 4D-710. The Company also agreed with CFF to form a Joint Steering Committee, with senior clinical development and regulatory expertise to enhance strategic planning, guidance, and coordination of 4D-710’s development. This agreement between CFF and the Company entered into in October 2025 also provides that CFF will invest an additional $3.6</w:t>
      </w:r>
      <w:r>
        <w:rPr>
          <w:rFonts w:ascii="Times New Roman" w:hAnsi="Times New Roman"/>
          <w:color w:val="000000"/>
          <w:sz w:val="20"/>
        </w:rPr>
        <w:t xml:space="preserve"> </w:t>
      </w:r>
      <w:r>
        <w:rPr>
          <w:rFonts w:ascii="Arial" w:hAnsi="Arial"/>
          <w:color w:val="000000"/>
          <w:sz w:val="20"/>
        </w:rPr>
        <w:t>million in exchange for shares of the Company’s common stock subject to achievement of specific clinical milestones and at the option of the Company. This agreement between the Company and CFF entered into in October 2025 does not modify the prior agreements with CFF.</w:t>
      </w:r>
    </w:p>
    <w:p>
      <w:pPr>
        <w:pStyle w:val="TextBody"/>
        <w:bidi w:val="0"/>
        <w:spacing w:before="240" w:after="283"/>
        <w:jc w:val="both"/>
        <w:rPr>
          <w:rFonts w:ascii="Times New Roman" w:hAnsi="Times New Roman"/>
          <w:sz w:val="20"/>
        </w:rPr>
      </w:pPr>
      <w:r>
        <w:rPr>
          <w:rFonts w:ascii="Arial" w:hAnsi="Arial"/>
          <w:i/>
          <w:color w:val="000000"/>
          <w:sz w:val="20"/>
        </w:rPr>
        <w:t xml:space="preserve">Sales Agreement with Leerink Partners LLC (“Leerink”) </w:t>
      </w:r>
      <w:r>
        <w:rPr>
          <w:rFonts w:ascii="Times New Roman" w:hAnsi="Times New Roman"/>
          <w:color w:val="000000"/>
          <w:sz w:val="20"/>
        </w:rPr>
        <w:t xml:space="preserve">— </w:t>
      </w:r>
      <w:r>
        <w:rPr>
          <w:rFonts w:ascii="Arial" w:hAnsi="Arial"/>
          <w:color w:val="000000"/>
          <w:sz w:val="20"/>
        </w:rPr>
        <w:t>In June 2024, the Company entered into a Sales Agreement (the “Leerink Sales Agreement”) with Leerink as sales agent to sell shares of the Company's common stock, from time to time, with aggregate gross sales proceeds of up to $250.0</w:t>
      </w:r>
      <w:r>
        <w:rPr>
          <w:rFonts w:ascii="Times New Roman" w:hAnsi="Times New Roman"/>
          <w:color w:val="000000"/>
          <w:sz w:val="20"/>
        </w:rPr>
        <w:t xml:space="preserve"> </w:t>
      </w:r>
      <w:r>
        <w:rPr>
          <w:rFonts w:ascii="Arial" w:hAnsi="Arial"/>
          <w:color w:val="000000"/>
          <w:sz w:val="20"/>
        </w:rPr>
        <w:t>million pursuant to a Registration Statement on Form S-3 that the Company filed with the SEC in February 2024, and subsequently amended in February 2025, as an “at-the-market” offering under the Securities Act. For the year ended December 31, 2025, 1,175,000</w:t>
      </w:r>
      <w:r>
        <w:rPr>
          <w:rFonts w:ascii="Times New Roman" w:hAnsi="Times New Roman"/>
          <w:color w:val="000000"/>
          <w:sz w:val="20"/>
        </w:rPr>
        <w:t xml:space="preserve"> </w:t>
      </w:r>
      <w:r>
        <w:rPr>
          <w:rFonts w:ascii="Arial" w:hAnsi="Arial"/>
          <w:color w:val="000000"/>
          <w:sz w:val="20"/>
        </w:rPr>
        <w:t>shares of the Company's common stock were sold pursuant to the Leerink Sales Agreement for net proceeds to the Company of $9.6</w:t>
      </w:r>
      <w:r>
        <w:rPr>
          <w:rFonts w:ascii="Times New Roman" w:hAnsi="Times New Roman"/>
          <w:color w:val="000000"/>
          <w:sz w:val="20"/>
        </w:rPr>
        <w:t xml:space="preserve"> </w:t>
      </w:r>
      <w:r>
        <w:rPr>
          <w:rFonts w:ascii="Arial" w:hAnsi="Arial"/>
          <w:color w:val="000000"/>
          <w:sz w:val="20"/>
        </w:rPr>
        <w:t>million, after deducting issuance costs. For the three months ended March 31, 2026, 1,012,145</w:t>
      </w:r>
      <w:r>
        <w:rPr>
          <w:rFonts w:ascii="Times New Roman" w:hAnsi="Times New Roman"/>
          <w:color w:val="000000"/>
          <w:sz w:val="20"/>
        </w:rPr>
        <w:t xml:space="preserve"> </w:t>
      </w:r>
      <w:r>
        <w:rPr>
          <w:rFonts w:ascii="Arial" w:hAnsi="Arial"/>
          <w:color w:val="000000"/>
          <w:sz w:val="20"/>
        </w:rPr>
        <w:t>shares were sold pursuant to the Leerink Sales Agreement for net proceeds to the Company of $9.7</w:t>
      </w:r>
      <w:r>
        <w:rPr>
          <w:rFonts w:ascii="Times New Roman" w:hAnsi="Times New Roman"/>
          <w:color w:val="000000"/>
          <w:sz w:val="20"/>
        </w:rPr>
        <w:t xml:space="preserve"> </w:t>
      </w:r>
      <w:r>
        <w:rPr>
          <w:rFonts w:ascii="Arial" w:hAnsi="Arial"/>
          <w:color w:val="000000"/>
          <w:sz w:val="20"/>
        </w:rPr>
        <w:t>million, after deducting issuance costs.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11. Stock-based Compensation</w:t>
      </w:r>
      <w:r>
        <w:rPr>
          <w:rFonts w:ascii="Times New Roman" w:hAnsi="Times New Roman"/>
          <w:color w:val="000000"/>
          <w:sz w:val="20"/>
        </w:rPr>
        <w:t xml:space="preserve"> </w:t>
      </w:r>
    </w:p>
    <w:p>
      <w:pPr>
        <w:pStyle w:val="TextBody"/>
        <w:bidi w:val="0"/>
        <w:spacing w:before="240" w:after="283"/>
        <w:jc w:val="both"/>
        <w:rPr>
          <w:rFonts w:ascii="Arial" w:hAnsi="Arial"/>
          <w:b/>
          <w:color w:val="000000"/>
          <w:sz w:val="20"/>
        </w:rPr>
      </w:pPr>
      <w:r>
        <w:rPr>
          <w:rFonts w:ascii="Arial" w:hAnsi="Arial"/>
          <w:b/>
          <w:color w:val="000000"/>
          <w:sz w:val="20"/>
        </w:rPr>
        <w:t>2025 Employment Inducement Award Plan</w:t>
      </w:r>
    </w:p>
    <w:p>
      <w:pPr>
        <w:pStyle w:val="TextBody"/>
        <w:bidi w:val="0"/>
        <w:spacing w:before="240" w:after="283"/>
        <w:jc w:val="both"/>
        <w:rPr>
          <w:rFonts w:ascii="Times New Roman" w:hAnsi="Times New Roman"/>
          <w:sz w:val="20"/>
        </w:rPr>
      </w:pPr>
      <w:r>
        <w:rPr>
          <w:rFonts w:ascii="Arial" w:hAnsi="Arial"/>
          <w:color w:val="000000"/>
          <w:sz w:val="20"/>
        </w:rPr>
        <w:t>On February 3, 2025, the Company’s board of directors adopted the 2025 Employment Inducement Plan (the “Inducement Plan”) pursuant to which the Company reserved 500,000</w:t>
      </w:r>
      <w:r>
        <w:rPr>
          <w:rFonts w:ascii="Times New Roman" w:hAnsi="Times New Roman"/>
          <w:color w:val="000000"/>
          <w:sz w:val="20"/>
        </w:rPr>
        <w:t xml:space="preserve"> </w:t>
      </w:r>
      <w:r>
        <w:rPr>
          <w:rFonts w:ascii="Arial" w:hAnsi="Arial"/>
          <w:color w:val="000000"/>
          <w:sz w:val="20"/>
        </w:rPr>
        <w:t>shares of its common stock to be used exclusively for grants of awards to individuals who were not previously employees or directors, as an inducement material to the individual’s entry into employment with the Company within the meaning of Rule 5635(c)(4) of the Marketplace Rules of the Nasdaq Stock Market. The Inducement Plan provides for the grant of stock options, restricted stock units, and other stock-based awards. In January 2026, the Company's board of directors adopted an amendment to the Inducement Plan to reserve an additional 1,000,000</w:t>
      </w:r>
      <w:r>
        <w:rPr>
          <w:rFonts w:ascii="Times New Roman" w:hAnsi="Times New Roman"/>
          <w:color w:val="000000"/>
          <w:sz w:val="20"/>
        </w:rPr>
        <w:t xml:space="preserve"> </w:t>
      </w:r>
      <w:r>
        <w:rPr>
          <w:rFonts w:ascii="Arial" w:hAnsi="Arial"/>
          <w:color w:val="000000"/>
          <w:sz w:val="20"/>
        </w:rPr>
        <w:t>shares of common stock under the Inducement Plan. As of March 31, 2026, there were 1,116,950</w:t>
      </w:r>
      <w:r>
        <w:rPr>
          <w:rFonts w:ascii="Times New Roman" w:hAnsi="Times New Roman"/>
          <w:color w:val="000000"/>
          <w:sz w:val="20"/>
        </w:rPr>
        <w:t xml:space="preserve"> </w:t>
      </w:r>
      <w:r>
        <w:rPr>
          <w:rFonts w:ascii="Arial" w:hAnsi="Arial"/>
          <w:color w:val="000000"/>
          <w:sz w:val="20"/>
        </w:rPr>
        <w:t>shares available for future grants under the Inducement Plan.</w:t>
      </w:r>
    </w:p>
    <w:p>
      <w:pPr>
        <w:pStyle w:val="TextBody"/>
        <w:bidi w:val="0"/>
        <w:spacing w:before="240" w:after="283"/>
        <w:jc w:val="both"/>
        <w:rPr>
          <w:rFonts w:ascii="Times New Roman" w:hAnsi="Times New Roman"/>
          <w:sz w:val="20"/>
        </w:rPr>
      </w:pPr>
      <w:r>
        <w:rPr>
          <w:rFonts w:ascii="Arial" w:hAnsi="Arial"/>
          <w:b/>
          <w:color w:val="000000"/>
          <w:sz w:val="20"/>
        </w:rPr>
        <w:t>2020 Equity Incentive Award Plan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December 2020, the Company adopted the 2020 Incentive Award Plan (“2020 Plan”), which became effective on December 10, 2020. The 2020 Plan initially reserved 2,606,546</w:t>
      </w:r>
      <w:r>
        <w:rPr>
          <w:rFonts w:ascii="Times New Roman" w:hAnsi="Times New Roman"/>
          <w:color w:val="000000"/>
          <w:sz w:val="20"/>
        </w:rPr>
        <w:t xml:space="preserve"> </w:t>
      </w:r>
      <w:r>
        <w:rPr>
          <w:rFonts w:ascii="Arial" w:hAnsi="Arial"/>
          <w:color w:val="000000"/>
          <w:sz w:val="20"/>
        </w:rPr>
        <w:t>shares of common stock for the issuance of stock options, stock appreciation rights, restricted stock awards, restricted stock units, performance bonus awards, performance stock units, dividend equivalents or other stock or cash based award granted to employees, directors and consultants of the Company. The number of shares reserved for future issuance under the 2020 Plan will increase annually on the first day of each fiscal year beginning in 2021 and ending in 2030 by the lesser of (i) 5% of the shares of common stock outstanding (on an as converted basis) on the last day of the immediately preceding fiscal year and (ii) such number of shares of common stock as determined by the Company's board of directors, provided, however, no more than 18,000,000</w:t>
      </w:r>
      <w:r>
        <w:rPr>
          <w:rFonts w:ascii="Times New Roman" w:hAnsi="Times New Roman"/>
          <w:color w:val="000000"/>
          <w:sz w:val="20"/>
        </w:rPr>
        <w:t xml:space="preserve"> </w:t>
      </w:r>
      <w:r>
        <w:rPr>
          <w:rFonts w:ascii="Arial" w:hAnsi="Arial"/>
          <w:color w:val="000000"/>
          <w:sz w:val="20"/>
        </w:rPr>
        <w:t>shares of the Company’s common stock may be issued upon the exercise of incentive stock options. As a result of the operation of the automatic annual increase provision of the 2020 Plan, an additional 2,289,625</w:t>
      </w:r>
      <w:r>
        <w:rPr>
          <w:rFonts w:ascii="Times New Roman" w:hAnsi="Times New Roman"/>
          <w:color w:val="000000"/>
          <w:sz w:val="20"/>
        </w:rPr>
        <w:t xml:space="preserve"> </w:t>
      </w:r>
      <w:r>
        <w:rPr>
          <w:rFonts w:ascii="Arial" w:hAnsi="Arial"/>
          <w:color w:val="000000"/>
          <w:sz w:val="20"/>
        </w:rPr>
        <w:t>shares of common stock became available for issuance on February 28, 2025 and an additional 2,880,394</w:t>
      </w:r>
      <w:r>
        <w:rPr>
          <w:rFonts w:ascii="Times New Roman" w:hAnsi="Times New Roman"/>
          <w:color w:val="000000"/>
          <w:sz w:val="20"/>
        </w:rPr>
        <w:t xml:space="preserve"> </w:t>
      </w:r>
      <w:r>
        <w:rPr>
          <w:rFonts w:ascii="Arial" w:hAnsi="Arial"/>
          <w:color w:val="000000"/>
          <w:sz w:val="20"/>
        </w:rPr>
        <w:t>shares of common stock became available for issuance on March 18, 2026 under the 2020 Plan. All stock options are exercisable over a period not to exceed the contractual term of ten years</w:t>
      </w:r>
      <w:r>
        <w:rPr>
          <w:rFonts w:ascii="Times New Roman" w:hAnsi="Times New Roman"/>
          <w:color w:val="000000"/>
          <w:sz w:val="20"/>
        </w:rPr>
        <w:t xml:space="preserve"> </w:t>
      </w:r>
      <w:r>
        <w:rPr>
          <w:rFonts w:ascii="Arial" w:hAnsi="Arial"/>
          <w:color w:val="000000"/>
          <w:sz w:val="20"/>
        </w:rPr>
        <w:t>from the date the stock options were issued.</w:t>
      </w:r>
      <w:r>
        <w:rPr>
          <w:rFonts w:ascii="Times New Roman" w:hAnsi="Times New Roman"/>
          <w:color w:val="000000"/>
          <w:sz w:val="20"/>
        </w:rPr>
        <w:t xml:space="preserve"> </w:t>
      </w:r>
      <w:r>
        <w:rPr>
          <w:rFonts w:ascii="Arial" w:hAnsi="Arial"/>
          <w:color w:val="000000"/>
          <w:sz w:val="20"/>
        </w:rPr>
        <w:t>As of March 31, 2026,</w:t>
      </w:r>
      <w:r>
        <w:rPr>
          <w:rFonts w:ascii="Times New Roman" w:hAnsi="Times New Roman"/>
          <w:color w:val="000000"/>
          <w:sz w:val="20"/>
        </w:rPr>
        <w:t xml:space="preserve"> </w:t>
      </w:r>
      <w:r>
        <w:rPr>
          <w:rFonts w:ascii="Arial" w:hAnsi="Arial"/>
          <w:color w:val="000000"/>
          <w:sz w:val="20"/>
        </w:rPr>
        <w:t>there were 1,979,771</w:t>
      </w:r>
      <w:r>
        <w:rPr>
          <w:rFonts w:ascii="Times New Roman" w:hAnsi="Times New Roman"/>
          <w:color w:val="000000"/>
          <w:sz w:val="20"/>
        </w:rPr>
        <w:t xml:space="preserve"> </w:t>
      </w:r>
      <w:r>
        <w:rPr>
          <w:rFonts w:ascii="Arial" w:hAnsi="Arial"/>
          <w:color w:val="000000"/>
          <w:sz w:val="20"/>
        </w:rPr>
        <w:t>shares available for grant under the 2020 Plan.</w:t>
      </w:r>
    </w:p>
    <w:p>
      <w:pPr>
        <w:pStyle w:val="TextBody"/>
        <w:bidi w:val="0"/>
        <w:spacing w:before="240" w:after="283"/>
        <w:jc w:val="both"/>
        <w:rPr>
          <w:rFonts w:ascii="Times New Roman" w:hAnsi="Times New Roman"/>
          <w:sz w:val="20"/>
        </w:rPr>
      </w:pPr>
      <w:r>
        <w:rPr>
          <w:rFonts w:ascii="Arial" w:hAnsi="Arial"/>
          <w:color w:val="000000"/>
          <w:sz w:val="20"/>
        </w:rPr>
        <w:t>Following the effectiveness of the 2020 Plan, the Company will not make any further grants under the 2015 Equity Incentive Plan (the “2015 Plan”). However, the 2015 Plan continues to govern the terms of stock options that remain outstanding under the 2015 Plan.</w:t>
      </w:r>
      <w:r>
        <w:rPr>
          <w:rFonts w:ascii="Times New Roman" w:hAnsi="Times New Roman"/>
          <w:color w:val="000000"/>
          <w:sz w:val="20"/>
        </w:rPr>
        <w:t xml:space="preserve"> </w:t>
      </w:r>
    </w:p>
    <w:p>
      <w:pPr>
        <w:pStyle w:val="TextBody"/>
        <w:bidi w:val="0"/>
        <w:spacing w:before="240" w:after="283"/>
        <w:jc w:val="both"/>
        <w:rPr>
          <w:rFonts w:ascii="Arial" w:hAnsi="Arial"/>
          <w:b/>
          <w:color w:val="000000"/>
          <w:sz w:val="20"/>
        </w:rPr>
      </w:pPr>
      <w:r>
        <w:rPr>
          <w:rFonts w:ascii="Arial" w:hAnsi="Arial"/>
          <w:b/>
          <w:color w:val="000000"/>
          <w:sz w:val="20"/>
        </w:rPr>
        <w:t>2015 Equity Incentive Plan</w:t>
      </w:r>
    </w:p>
    <w:p>
      <w:pPr>
        <w:pStyle w:val="TextBody"/>
        <w:bidi w:val="0"/>
        <w:spacing w:before="240" w:after="283"/>
        <w:jc w:val="both"/>
        <w:rPr>
          <w:rFonts w:ascii="Times New Roman" w:hAnsi="Times New Roman"/>
          <w:sz w:val="20"/>
        </w:rPr>
      </w:pPr>
      <w:r>
        <w:rPr>
          <w:rFonts w:ascii="Arial" w:hAnsi="Arial"/>
          <w:color w:val="000000"/>
          <w:sz w:val="20"/>
        </w:rPr>
        <w:t>The 2015 Plan</w:t>
      </w:r>
      <w:r>
        <w:rPr>
          <w:rFonts w:ascii="Times New Roman" w:hAnsi="Times New Roman"/>
          <w:color w:val="000000"/>
          <w:sz w:val="20"/>
        </w:rPr>
        <w:t xml:space="preserve"> </w:t>
      </w:r>
      <w:r>
        <w:rPr>
          <w:rFonts w:ascii="Arial" w:hAnsi="Arial"/>
          <w:color w:val="000000"/>
          <w:sz w:val="20"/>
        </w:rPr>
        <w:t>provided for grants of stock options, stock appreciation rights, restricted stock and restricted stock unit awards to employees, directors and consultants of the Company. As of March 31, 2026, stock options to purchase 1,116,890</w:t>
      </w:r>
      <w:r>
        <w:rPr>
          <w:rFonts w:ascii="Times New Roman" w:hAnsi="Times New Roman"/>
          <w:color w:val="000000"/>
          <w:sz w:val="20"/>
        </w:rPr>
        <w:t xml:space="preserve"> </w:t>
      </w:r>
      <w:r>
        <w:rPr>
          <w:rFonts w:ascii="Arial" w:hAnsi="Arial"/>
          <w:color w:val="000000"/>
          <w:sz w:val="20"/>
        </w:rPr>
        <w:t>shares of common stock were outstanding under the 2015 Plan. All stock options are exercisable over a period not to exceed the contractual term of ten years</w:t>
      </w:r>
      <w:r>
        <w:rPr>
          <w:rFonts w:ascii="Times New Roman" w:hAnsi="Times New Roman"/>
          <w:color w:val="000000"/>
          <w:sz w:val="20"/>
        </w:rPr>
        <w:t xml:space="preserve"> </w:t>
      </w:r>
      <w:r>
        <w:rPr>
          <w:rFonts w:ascii="Arial" w:hAnsi="Arial"/>
          <w:color w:val="000000"/>
          <w:sz w:val="20"/>
        </w:rPr>
        <w:t>from the date the stock options were issued and are granted at prices not less than the estimated fair market value of the Company’s common stock on the grant date as determined by the board of directors.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No</w:t>
      </w:r>
      <w:r>
        <w:rPr>
          <w:rFonts w:ascii="Times New Roman" w:hAnsi="Times New Roman"/>
          <w:color w:val="000000"/>
          <w:sz w:val="20"/>
        </w:rPr>
        <w:t xml:space="preserve"> </w:t>
      </w:r>
      <w:r>
        <w:rPr>
          <w:rFonts w:ascii="Arial" w:hAnsi="Arial"/>
          <w:color w:val="000000"/>
          <w:sz w:val="20"/>
        </w:rPr>
        <w:t>additional grants will be made under the 2015 Plan, and all outstanding grants under the 2015 Plan that are repurchased, forfeited, expire or are cancelled are returned to the 2015 Plan and are not available for grant under the 2020 Plan.</w:t>
      </w:r>
      <w:r>
        <w:rPr>
          <w:rFonts w:ascii="Times New Roman" w:hAnsi="Times New Roman"/>
          <w:color w:val="000000"/>
          <w:sz w:val="20"/>
        </w:rPr>
        <w:t xml:space="preserve"> </w:t>
      </w:r>
    </w:p>
    <w:p>
      <w:pPr>
        <w:pStyle w:val="TextBody"/>
        <w:bidi w:val="0"/>
        <w:spacing w:before="240" w:after="283"/>
        <w:jc w:val="both"/>
        <w:rPr>
          <w:rFonts w:ascii="Arial" w:hAnsi="Arial"/>
          <w:b/>
          <w:color w:val="000000"/>
          <w:sz w:val="20"/>
        </w:rPr>
      </w:pPr>
      <w:r>
        <w:rPr>
          <w:rFonts w:ascii="Arial" w:hAnsi="Arial"/>
          <w:b/>
          <w:color w:val="000000"/>
          <w:sz w:val="20"/>
        </w:rPr>
        <w:t>Employee Stock Purchase Plan</w:t>
      </w:r>
    </w:p>
    <w:p>
      <w:pPr>
        <w:pStyle w:val="TextBody"/>
        <w:bidi w:val="0"/>
        <w:spacing w:before="240" w:after="283"/>
        <w:jc w:val="both"/>
        <w:rPr>
          <w:rFonts w:ascii="Times New Roman" w:hAnsi="Times New Roman"/>
          <w:sz w:val="20"/>
        </w:rPr>
      </w:pPr>
      <w:r>
        <w:rPr>
          <w:rFonts w:ascii="Arial" w:hAnsi="Arial"/>
          <w:color w:val="000000"/>
          <w:sz w:val="20"/>
        </w:rPr>
        <w:t>In December 2020, the Company adopted the 2020 Employee Stock Purchase Plan (the “2020 ESPP”). Under the 2020 ESPP, 252,337</w:t>
      </w:r>
      <w:r>
        <w:rPr>
          <w:rFonts w:ascii="Times New Roman" w:hAnsi="Times New Roman"/>
          <w:color w:val="000000"/>
          <w:sz w:val="20"/>
        </w:rPr>
        <w:t xml:space="preserve"> </w:t>
      </w:r>
      <w:r>
        <w:rPr>
          <w:rFonts w:ascii="Arial" w:hAnsi="Arial"/>
          <w:color w:val="000000"/>
          <w:sz w:val="20"/>
        </w:rPr>
        <w:t>shares of the Company’s common stock were initially reserved for employee purchases of the Company’s common stock under terms and provisions established by the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Company’s board of directors and approved by the Company’s stockholders. The number of shares reserved for future issuance under the 2020 ESPP will increase annually on the first day of each fiscal year beginning in 2021 and ending in 2030 by the lesser of (i) 1% of the shares of common stock outstanding (on an as converted basis) on the last day of the immediately preceding fiscal year and (ii) such number of shares of common stock as determined by the Company’s board of directors, provided, however, no more than 15,000,000</w:t>
      </w:r>
      <w:r>
        <w:rPr>
          <w:rFonts w:ascii="Times New Roman" w:hAnsi="Times New Roman"/>
          <w:color w:val="000000"/>
          <w:sz w:val="20"/>
        </w:rPr>
        <w:t xml:space="preserve"> </w:t>
      </w:r>
      <w:r>
        <w:rPr>
          <w:rFonts w:ascii="Arial" w:hAnsi="Arial"/>
          <w:color w:val="000000"/>
          <w:sz w:val="20"/>
        </w:rPr>
        <w:t>shares the Company’s common stock may be issued under the 2020 ESPP. As a result of the operation of this annual increase provision of the 2020 ESPP, an additional 150,000</w:t>
      </w:r>
      <w:r>
        <w:rPr>
          <w:rFonts w:ascii="Times New Roman" w:hAnsi="Times New Roman"/>
          <w:color w:val="000000"/>
          <w:sz w:val="20"/>
        </w:rPr>
        <w:t xml:space="preserve"> </w:t>
      </w:r>
      <w:r>
        <w:rPr>
          <w:rFonts w:ascii="Arial" w:hAnsi="Arial"/>
          <w:color w:val="000000"/>
          <w:sz w:val="20"/>
        </w:rPr>
        <w:t>shares of common stock became available on February 28, 2025 and an additional 576,079</w:t>
      </w:r>
      <w:r>
        <w:rPr>
          <w:rFonts w:ascii="Times New Roman" w:hAnsi="Times New Roman"/>
          <w:color w:val="000000"/>
          <w:sz w:val="20"/>
        </w:rPr>
        <w:t xml:space="preserve"> </w:t>
      </w:r>
      <w:r>
        <w:rPr>
          <w:rFonts w:ascii="Arial" w:hAnsi="Arial"/>
          <w:color w:val="000000"/>
          <w:sz w:val="20"/>
        </w:rPr>
        <w:t>shares of common stock became available for issuance on March 18, 2026 under the 2020 ESPP.</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Under the 2020 ESPP, the Company’s employees may purchase common stock through payroll deductions at a price equal to 85% of the lower of the fair market value of the stock at the beginning of the offering period or at the end of each applicable purchase period. The 2020 ESPP provides for a series of overlapping 24-month</w:t>
      </w:r>
      <w:r>
        <w:rPr>
          <w:rFonts w:ascii="Times New Roman" w:hAnsi="Times New Roman"/>
          <w:color w:val="000000"/>
          <w:sz w:val="20"/>
        </w:rPr>
        <w:t xml:space="preserve"> </w:t>
      </w:r>
      <w:r>
        <w:rPr>
          <w:rFonts w:ascii="Arial" w:hAnsi="Arial"/>
          <w:color w:val="000000"/>
          <w:sz w:val="20"/>
        </w:rPr>
        <w:t>offering periods comprising four</w:t>
      </w:r>
      <w:r>
        <w:rPr>
          <w:rFonts w:ascii="Times New Roman" w:hAnsi="Times New Roman"/>
          <w:color w:val="000000"/>
          <w:sz w:val="20"/>
        </w:rPr>
        <w:t xml:space="preserve"> </w:t>
      </w:r>
      <w:r>
        <w:rPr>
          <w:rFonts w:ascii="Arial" w:hAnsi="Arial"/>
          <w:color w:val="000000"/>
          <w:sz w:val="20"/>
        </w:rPr>
        <w:t>six-month purchase periods. The initial offering period under the 2020 ESPP is longer than 24 months, commencing February 15, 2021 and ending on May 14, 2023. Contributions under the 2020 ESPP are limited to a maximum of 15% of an employee’s eligible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Restricted Stock Units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Company has granted restricted stock unit (RSU) awards under the 2020 Equity Incentive Award Plan that vest over a period of four years. The following table summarizes the RSU activity:</w:t>
      </w:r>
    </w:p>
    <w:p>
      <w:pPr>
        <w:pStyle w:val="TextBody"/>
        <w:bidi w:val="0"/>
        <w:jc w:val="both"/>
        <w:rPr/>
      </w:pPr>
      <w:r>
        <w:rPr/>
        <w:t> </w:t>
      </w:r>
    </w:p>
    <w:tbl>
      <w:tblPr>
        <w:tblW w:w="5548" w:type="dxa"/>
        <w:jc w:val="left"/>
        <w:tblInd w:w="0" w:type="dxa"/>
        <w:tblLayout w:type="fixed"/>
        <w:tblCellMar>
          <w:top w:w="28" w:type="dxa"/>
          <w:left w:w="28" w:type="dxa"/>
          <w:bottom w:w="28" w:type="dxa"/>
          <w:right w:w="28" w:type="dxa"/>
        </w:tblCellMar>
      </w:tblPr>
      <w:tblGrid>
        <w:gridCol w:w="3661"/>
        <w:gridCol w:w="146"/>
        <w:gridCol w:w="201"/>
        <w:gridCol w:w="1329"/>
        <w:gridCol w:w="21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Number of Shares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Unvested 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744,770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Awarded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929,376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(51,779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Canceled/Forfeited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(27,712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Unvested 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1,594,655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Arial" w:hAnsi="Arial"/>
          <w:b/>
          <w:color w:val="000000"/>
          <w:sz w:val="20"/>
        </w:rPr>
        <w:t>Stock Options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following table summarizes the stock options activity:</w:t>
      </w:r>
    </w:p>
    <w:p>
      <w:pPr>
        <w:pStyle w:val="TextBody"/>
        <w:bidi w:val="0"/>
        <w:jc w:val="both"/>
        <w:rPr/>
      </w:pPr>
      <w:r>
        <w:rPr/>
        <w:t> </w:t>
      </w:r>
    </w:p>
    <w:tbl>
      <w:tblPr>
        <w:tblW w:w="7768" w:type="dxa"/>
        <w:jc w:val="left"/>
        <w:tblInd w:w="0" w:type="dxa"/>
        <w:tblLayout w:type="fixed"/>
        <w:tblCellMar>
          <w:top w:w="28" w:type="dxa"/>
          <w:left w:w="28" w:type="dxa"/>
          <w:bottom w:w="28" w:type="dxa"/>
          <w:right w:w="28" w:type="dxa"/>
        </w:tblCellMar>
      </w:tblPr>
      <w:tblGrid>
        <w:gridCol w:w="4966"/>
        <w:gridCol w:w="146"/>
        <w:gridCol w:w="294"/>
        <w:gridCol w:w="2151"/>
        <w:gridCol w:w="211"/>
      </w:tblGrid>
      <w:tr>
        <w:trPr/>
        <w:tc>
          <w:tcPr>
            <w:tcW w:w="4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Number of Shares Underlying</w:t>
              <w:br/>
              <w:t>Outstanding Options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Balances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9,412,808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2,660,195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(198,902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Options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(320,681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Options 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(16,131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Balances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11,537,289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Options exercisable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5,587,795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Options vested and expected to vest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11,537,289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The Company estimates the fair value of stock options using the Black-Scholes option pricing model. The fair value of employee and nonemployee stock options is recognized on a straight-line basis over the requisite service period of the awards. The fair value of the Company</w:t>
      </w:r>
      <w:r>
        <w:rPr>
          <w:rFonts w:ascii="Arial" w:hAnsi="Arial"/>
          <w:color w:val="000000"/>
          <w:sz w:val="24"/>
        </w:rPr>
        <w:t>’</w:t>
      </w:r>
      <w:r>
        <w:rPr>
          <w:rFonts w:ascii="Arial" w:hAnsi="Arial"/>
          <w:color w:val="000000"/>
          <w:sz w:val="20"/>
        </w:rPr>
        <w:t>s stock options was estimated using the following assumptions:</w:t>
      </w:r>
    </w:p>
    <w:p>
      <w:pPr>
        <w:pStyle w:val="TextBody"/>
        <w:bidi w:val="0"/>
        <w:jc w:val="both"/>
        <w:rPr/>
      </w:pPr>
      <w:r>
        <w:rPr/>
        <w:t> </w:t>
      </w:r>
    </w:p>
    <w:tbl>
      <w:tblPr>
        <w:tblW w:w="5320" w:type="dxa"/>
        <w:jc w:val="left"/>
        <w:tblInd w:w="0" w:type="dxa"/>
        <w:tblLayout w:type="fixed"/>
        <w:tblCellMar>
          <w:top w:w="28" w:type="dxa"/>
          <w:left w:w="28" w:type="dxa"/>
          <w:bottom w:w="28" w:type="dxa"/>
          <w:right w:w="28" w:type="dxa"/>
        </w:tblCellMar>
      </w:tblPr>
      <w:tblGrid>
        <w:gridCol w:w="2191"/>
        <w:gridCol w:w="146"/>
        <w:gridCol w:w="1396"/>
        <w:gridCol w:w="146"/>
        <w:gridCol w:w="1441"/>
      </w:tblGrid>
      <w:tr>
        <w:trPr/>
        <w:tc>
          <w:tcPr>
            <w:tcW w:w="2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5.9</w:t>
            </w:r>
            <w:r>
              <w:rPr>
                <w:rFonts w:ascii="Times New Roman" w:hAnsi="Times New Roman"/>
                <w:color w:val="000000"/>
                <w:sz w:val="20"/>
              </w:rPr>
              <w:t> </w:t>
            </w:r>
            <w:r>
              <w:rPr>
                <w:rFonts w:ascii="Arial" w:hAnsi="Arial"/>
                <w:color w:val="000000"/>
                <w:sz w:val="20"/>
              </w:rPr>
              <w:t>- 6.1</w:t>
            </w:r>
            <w:r>
              <w:rPr>
                <w:rFonts w:ascii="Times New Roman" w:hAnsi="Times New Roman"/>
                <w:color w:val="000000"/>
                <w:sz w:val="20"/>
              </w:rPr>
              <w:t> </w:t>
            </w:r>
            <w:r>
              <w:rPr>
                <w:rFonts w:ascii="Arial" w:hAnsi="Arial"/>
                <w:color w:val="000000"/>
                <w:sz w:val="20"/>
              </w:rPr>
              <w:t>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6.0</w:t>
            </w:r>
            <w:r>
              <w:rPr>
                <w:rFonts w:ascii="Times New Roman" w:hAnsi="Times New Roman"/>
                <w:color w:val="000000"/>
                <w:sz w:val="20"/>
              </w:rPr>
              <w:t> </w:t>
            </w:r>
            <w:r>
              <w:rPr>
                <w:rFonts w:ascii="Arial" w:hAnsi="Arial"/>
                <w:color w:val="000000"/>
                <w:sz w:val="20"/>
              </w:rPr>
              <w:t>- 6.1</w:t>
            </w:r>
            <w:r>
              <w:rPr>
                <w:rFonts w:ascii="Times New Roman" w:hAnsi="Times New Roman"/>
                <w:color w:val="000000"/>
                <w:sz w:val="20"/>
              </w:rPr>
              <w:t> </w:t>
            </w:r>
            <w:r>
              <w:rPr>
                <w:rFonts w:ascii="Arial" w:hAnsi="Arial"/>
                <w:color w:val="000000"/>
                <w:sz w:val="20"/>
              </w:rPr>
              <w:t>years</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88.3% - 89.0%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84.9% - 86.0%</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3.8% - 4.1%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4.1% - 4.6%</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pPr>
            <w:r>
              <w:rPr>
                <w:color w:val="000000"/>
              </w:rPr>
              <w:t>—</w:t>
            </w: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color w:val="000000"/>
              </w:rPr>
              <w:t>—</w:t>
            </w:r>
            <w:r>
              <w:rPr>
                <w:rFonts w:ascii="Arial" w:hAnsi="Arial"/>
                <w:color w:val="000000"/>
                <w:sz w:val="20"/>
              </w:rPr>
              <w:t>%</w:t>
            </w:r>
          </w:p>
        </w:tc>
      </w:tr>
    </w:tbl>
    <w:p>
      <w:pPr>
        <w:pStyle w:val="TextBody"/>
        <w:bidi w:val="0"/>
        <w:spacing w:before="240" w:after="283"/>
        <w:jc w:val="both"/>
        <w:rPr>
          <w:rFonts w:ascii="Times New Roman" w:hAnsi="Times New Roman"/>
          <w:sz w:val="20"/>
        </w:rPr>
      </w:pPr>
      <w:r>
        <w:rPr>
          <w:rFonts w:ascii="Arial" w:hAnsi="Arial"/>
          <w:i/>
          <w:color w:val="000000"/>
          <w:sz w:val="20"/>
        </w:rPr>
        <w:t>Expected Term</w:t>
      </w:r>
      <w:r>
        <w:rPr>
          <w:rFonts w:ascii="Arial" w:hAnsi="Arial"/>
          <w:color w:val="000000"/>
          <w:sz w:val="20"/>
        </w:rPr>
        <w:t>. The expected term for employee stock options is calculated using the simplified method as the Company does not have sufficient historical information to provide a basis for this estimate. The simplified method is based on the average of the vesting tranches and the contractual life of each grant. The expected term for nonemployee stock options is the contractual term of the stock options.</w:t>
      </w:r>
    </w:p>
    <w:p>
      <w:pPr>
        <w:pStyle w:val="TextBody"/>
        <w:bidi w:val="0"/>
        <w:spacing w:before="240" w:after="283"/>
        <w:jc w:val="both"/>
        <w:rPr>
          <w:rFonts w:ascii="Times New Roman" w:hAnsi="Times New Roman"/>
          <w:sz w:val="20"/>
        </w:rPr>
      </w:pPr>
      <w:r>
        <w:rPr>
          <w:rFonts w:ascii="Arial" w:hAnsi="Arial"/>
          <w:i/>
          <w:color w:val="000000"/>
          <w:sz w:val="20"/>
        </w:rPr>
        <w:t>Expected Volatility</w:t>
      </w:r>
      <w:r>
        <w:rPr>
          <w:rFonts w:ascii="Arial" w:hAnsi="Arial"/>
          <w:color w:val="000000"/>
          <w:sz w:val="20"/>
        </w:rPr>
        <w:t>. The expected volatility is based on a mix of the Company</w:t>
      </w:r>
      <w:r>
        <w:rPr>
          <w:rFonts w:ascii="Times New Roman" w:hAnsi="Times New Roman"/>
          <w:color w:val="000000"/>
          <w:sz w:val="20"/>
        </w:rPr>
        <w:t>’</w:t>
      </w:r>
      <w:r>
        <w:rPr>
          <w:rFonts w:ascii="Arial" w:hAnsi="Arial"/>
          <w:color w:val="000000"/>
          <w:sz w:val="20"/>
        </w:rPr>
        <w:t>s historical volatility and the historical volatility of comparable companies with similar attributes to the Company, including industry, stage of life cycle, size and financial leverage. For each grant, the Company measured historical volatility over a period equivalent to the expected term.</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i/>
          <w:color w:val="000000"/>
          <w:sz w:val="20"/>
        </w:rPr>
        <w:t xml:space="preserve">Risk-free Interest Rate. </w:t>
      </w:r>
      <w:r>
        <w:rPr>
          <w:rFonts w:ascii="Arial" w:hAnsi="Arial"/>
          <w:color w:val="000000"/>
          <w:sz w:val="20"/>
        </w:rPr>
        <w:t>The risk-free interest rate is based on the yield available on U.S. Treasury zero-coupon issues whose term is similar in duration to the expected term of the respective stock option.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i/>
          <w:color w:val="000000"/>
          <w:sz w:val="20"/>
        </w:rPr>
        <w:t>Expected Dividend Yield</w:t>
      </w:r>
      <w:r>
        <w:rPr>
          <w:rFonts w:ascii="Arial" w:hAnsi="Arial"/>
          <w:color w:val="000000"/>
          <w:sz w:val="20"/>
        </w:rPr>
        <w:t>. The Company has not paid and does not anticipate paying any dividends on its common stock in the future. Accordingly, the Company has estimated the dividend yield to be zero</w:t>
      </w:r>
      <w:r>
        <w:rPr>
          <w:rFonts w:ascii="Times New Roman" w:hAnsi="Times New Roman"/>
          <w:color w:val="000000"/>
          <w:sz w:val="20"/>
        </w:rPr>
        <w:t xml:space="preserve"> </w:t>
      </w:r>
      <w:r>
        <w:rPr>
          <w:rFonts w:ascii="Arial" w:hAnsi="Arial"/>
          <w:color w:val="000000"/>
          <w:sz w:val="20"/>
        </w:rPr>
        <w:t>percent.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color w:val="000000"/>
          <w:sz w:val="20"/>
        </w:rPr>
        <w:t>Stock-Based Compensation Expense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following table is a summary of stock-based compensation expense incurred for employees and nonemployees by function (in thousands):</w:t>
      </w:r>
      <w:r>
        <w:rPr>
          <w:rFonts w:ascii="Times New Roman" w:hAnsi="Times New Roman"/>
          <w:color w:val="000000"/>
          <w:sz w:val="20"/>
        </w:rPr>
        <w:t xml:space="preserve"> </w:t>
      </w:r>
    </w:p>
    <w:tbl>
      <w:tblPr>
        <w:tblW w:w="7196" w:type="dxa"/>
        <w:jc w:val="left"/>
        <w:tblInd w:w="0" w:type="dxa"/>
        <w:tblLayout w:type="fixed"/>
        <w:tblCellMar>
          <w:top w:w="28" w:type="dxa"/>
          <w:left w:w="28" w:type="dxa"/>
          <w:bottom w:w="28" w:type="dxa"/>
          <w:right w:w="28" w:type="dxa"/>
        </w:tblCellMar>
      </w:tblPr>
      <w:tblGrid>
        <w:gridCol w:w="4031"/>
        <w:gridCol w:w="146"/>
        <w:gridCol w:w="285"/>
        <w:gridCol w:w="792"/>
        <w:gridCol w:w="197"/>
        <w:gridCol w:w="197"/>
        <w:gridCol w:w="285"/>
        <w:gridCol w:w="792"/>
        <w:gridCol w:w="471"/>
      </w:tblGrid>
      <w:tr>
        <w:trPr/>
        <w:tc>
          <w:tcPr>
            <w:tcW w:w="4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1,932</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3,981</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2,521</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4,453</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6,986</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b/>
          <w:i/>
          <w:color w:val="000000"/>
          <w:sz w:val="20"/>
        </w:rPr>
        <w:t>12. Common Stock Warrants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May 2018, the Company issued a warrant for 23,669</w:t>
      </w:r>
      <w:r>
        <w:rPr>
          <w:rFonts w:ascii="Times New Roman" w:hAnsi="Times New Roman"/>
          <w:color w:val="000000"/>
          <w:sz w:val="20"/>
        </w:rPr>
        <w:t xml:space="preserve"> </w:t>
      </w:r>
      <w:r>
        <w:rPr>
          <w:rFonts w:ascii="Arial" w:hAnsi="Arial"/>
          <w:color w:val="000000"/>
          <w:sz w:val="20"/>
        </w:rPr>
        <w:t>shares of the Company’s common stock to a service provider with an exercise price of $3.19</w:t>
      </w:r>
      <w:r>
        <w:rPr>
          <w:rFonts w:ascii="Times New Roman" w:hAnsi="Times New Roman"/>
          <w:color w:val="000000"/>
          <w:sz w:val="20"/>
        </w:rPr>
        <w:t xml:space="preserve"> </w:t>
      </w:r>
      <w:r>
        <w:rPr>
          <w:rFonts w:ascii="Arial" w:hAnsi="Arial"/>
          <w:color w:val="000000"/>
          <w:sz w:val="20"/>
        </w:rPr>
        <w:t>per share. The fair value of the warrant was determined at the issuance date using the Black-Scholes option pricing model. The warrant was fully vested upon issuance and were exercised in May 2025 through a cashless exchange under the terms of the original agreement.</w:t>
      </w:r>
    </w:p>
    <w:p>
      <w:pPr>
        <w:pStyle w:val="TextBody"/>
        <w:bidi w:val="0"/>
        <w:spacing w:before="240" w:after="283"/>
        <w:jc w:val="both"/>
        <w:rPr>
          <w:rFonts w:ascii="Times New Roman" w:hAnsi="Times New Roman"/>
          <w:sz w:val="20"/>
        </w:rPr>
      </w:pPr>
      <w:r>
        <w:rPr>
          <w:rFonts w:ascii="Arial" w:hAnsi="Arial"/>
          <w:color w:val="000000"/>
          <w:sz w:val="20"/>
        </w:rPr>
        <w:t>In December 2020, the Company issued a warrant for 30,000</w:t>
      </w:r>
      <w:r>
        <w:rPr>
          <w:rFonts w:ascii="Times New Roman" w:hAnsi="Times New Roman"/>
          <w:color w:val="000000"/>
          <w:sz w:val="20"/>
        </w:rPr>
        <w:t xml:space="preserve"> </w:t>
      </w:r>
      <w:r>
        <w:rPr>
          <w:rFonts w:ascii="Arial" w:hAnsi="Arial"/>
          <w:color w:val="000000"/>
          <w:sz w:val="20"/>
        </w:rPr>
        <w:t>shares of the Company</w:t>
      </w:r>
      <w:r>
        <w:rPr>
          <w:rFonts w:ascii="Times New Roman" w:hAnsi="Times New Roman"/>
          <w:color w:val="000000"/>
          <w:sz w:val="20"/>
        </w:rPr>
        <w:t>’</w:t>
      </w:r>
      <w:r>
        <w:rPr>
          <w:rFonts w:ascii="Arial" w:hAnsi="Arial"/>
          <w:color w:val="000000"/>
          <w:sz w:val="20"/>
        </w:rPr>
        <w:t>s common stock to a service provider with an exercise price of $18.00</w:t>
      </w:r>
      <w:r>
        <w:rPr>
          <w:rFonts w:ascii="Times New Roman" w:hAnsi="Times New Roman"/>
          <w:color w:val="000000"/>
          <w:sz w:val="20"/>
        </w:rPr>
        <w:t xml:space="preserve"> </w:t>
      </w:r>
      <w:r>
        <w:rPr>
          <w:rFonts w:ascii="Arial" w:hAnsi="Arial"/>
          <w:color w:val="000000"/>
          <w:sz w:val="20"/>
        </w:rPr>
        <w:t>per share. This warrant vests over a period of four years</w:t>
      </w:r>
      <w:r>
        <w:rPr>
          <w:rFonts w:ascii="Times New Roman" w:hAnsi="Times New Roman"/>
          <w:color w:val="000000"/>
          <w:sz w:val="20"/>
        </w:rPr>
        <w:t xml:space="preserve"> </w:t>
      </w:r>
      <w:r>
        <w:rPr>
          <w:rFonts w:ascii="Arial" w:hAnsi="Arial"/>
          <w:color w:val="000000"/>
          <w:sz w:val="20"/>
        </w:rPr>
        <w:t>and expires in 2027. The fair value of the warrant was determined at the issuance date using the Black-Scholes option pricing model.</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The Company recognized no</w:t>
      </w:r>
      <w:r>
        <w:rPr>
          <w:rFonts w:ascii="Times New Roman" w:hAnsi="Times New Roman"/>
          <w:color w:val="000000"/>
          <w:sz w:val="20"/>
        </w:rPr>
        <w:t xml:space="preserve"> </w:t>
      </w:r>
      <w:r>
        <w:rPr>
          <w:rFonts w:ascii="Arial" w:hAnsi="Arial"/>
          <w:color w:val="000000"/>
          <w:sz w:val="20"/>
        </w:rPr>
        <w:t>expense related to the above warrant shares during the three months ended March 31, 2026 and 2025.</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i/>
          <w:color w:val="000000"/>
          <w:sz w:val="20"/>
        </w:rPr>
        <w:t>13. Pre-funded Warrants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February 2024, the Company completed an underwritten public follow-on offering which included the sale of pre-funded warrants to purchase 3,583,476</w:t>
      </w:r>
      <w:r>
        <w:rPr>
          <w:rFonts w:ascii="Times New Roman" w:hAnsi="Times New Roman"/>
          <w:color w:val="000000"/>
          <w:sz w:val="20"/>
        </w:rPr>
        <w:t xml:space="preserve"> </w:t>
      </w:r>
      <w:r>
        <w:rPr>
          <w:rFonts w:ascii="Arial" w:hAnsi="Arial"/>
          <w:color w:val="000000"/>
          <w:sz w:val="20"/>
        </w:rPr>
        <w:t>shares of the Company’s common stock at an offering price of $29.4999</w:t>
      </w:r>
      <w:r>
        <w:rPr>
          <w:rFonts w:ascii="Times New Roman" w:hAnsi="Times New Roman"/>
          <w:color w:val="000000"/>
          <w:sz w:val="20"/>
        </w:rPr>
        <w:t xml:space="preserve"> </w:t>
      </w:r>
      <w:r>
        <w:rPr>
          <w:rFonts w:ascii="Arial" w:hAnsi="Arial"/>
          <w:color w:val="000000"/>
          <w:sz w:val="20"/>
        </w:rPr>
        <w:t>(the "February 2024 Warrants). The Company valued the February 2024 Warrants at issuance and recorded net proceeds of $99.4</w:t>
      </w:r>
      <w:r>
        <w:rPr>
          <w:rFonts w:ascii="Times New Roman" w:hAnsi="Times New Roman"/>
          <w:color w:val="000000"/>
          <w:sz w:val="20"/>
        </w:rPr>
        <w:t xml:space="preserve"> </w:t>
      </w:r>
      <w:r>
        <w:rPr>
          <w:rFonts w:ascii="Arial" w:hAnsi="Arial"/>
          <w:color w:val="000000"/>
          <w:sz w:val="20"/>
        </w:rPr>
        <w:t>million, after deducting underwriters fees, during the year ended December 31, 2024 related to the sale of the February 2024 Warrants. In February 2025, two</w:t>
      </w:r>
      <w:r>
        <w:rPr>
          <w:rFonts w:ascii="Times New Roman" w:hAnsi="Times New Roman"/>
          <w:color w:val="000000"/>
          <w:sz w:val="20"/>
        </w:rPr>
        <w:t xml:space="preserve"> </w:t>
      </w:r>
      <w:r>
        <w:rPr>
          <w:rFonts w:ascii="Arial" w:hAnsi="Arial"/>
          <w:color w:val="000000"/>
          <w:sz w:val="20"/>
        </w:rPr>
        <w:t>holders of the February 2024 Warrants gave notice of exercise to purchase an aggregate of 508,476</w:t>
      </w:r>
      <w:r>
        <w:rPr>
          <w:rFonts w:ascii="Times New Roman" w:hAnsi="Times New Roman"/>
          <w:color w:val="000000"/>
          <w:sz w:val="20"/>
        </w:rPr>
        <w:t xml:space="preserve"> </w:t>
      </w:r>
      <w:r>
        <w:rPr>
          <w:rFonts w:ascii="Arial" w:hAnsi="Arial"/>
          <w:color w:val="000000"/>
          <w:sz w:val="20"/>
        </w:rPr>
        <w:t>shares of the Company’s common stock in a cashless exchange under the terms of the February 2024 Warrants.</w:t>
      </w:r>
    </w:p>
    <w:p>
      <w:pPr>
        <w:pStyle w:val="TextBody"/>
        <w:bidi w:val="0"/>
        <w:spacing w:before="240" w:after="283"/>
        <w:jc w:val="both"/>
        <w:rPr>
          <w:rFonts w:ascii="Times New Roman" w:hAnsi="Times New Roman"/>
          <w:sz w:val="20"/>
        </w:rPr>
      </w:pPr>
      <w:r>
        <w:rPr>
          <w:rFonts w:ascii="Arial" w:hAnsi="Arial"/>
          <w:color w:val="000000"/>
          <w:sz w:val="20"/>
        </w:rPr>
        <w:t>In November and December 2024, the Company entered into exchange agreements (the “2024 Exchange Agreements”) with each of Biotechnology Value Fund, L.P. and certain of its affiliates (collectively, “BVF”) and RA Capital Healthcare Fund, L.P. (“RA Capital”), respectively. Pursuant to the 2024 Exchange Agreements, BVF and RA Capital exchanged 5,775,000</w:t>
      </w:r>
      <w:r>
        <w:rPr>
          <w:rFonts w:ascii="Times New Roman" w:hAnsi="Times New Roman"/>
          <w:color w:val="000000"/>
          <w:sz w:val="20"/>
        </w:rPr>
        <w:t xml:space="preserve"> </w:t>
      </w:r>
      <w:r>
        <w:rPr>
          <w:rFonts w:ascii="Arial" w:hAnsi="Arial"/>
          <w:color w:val="000000"/>
          <w:sz w:val="20"/>
        </w:rPr>
        <w:t>and 535,000</w:t>
      </w:r>
      <w:r>
        <w:rPr>
          <w:rFonts w:ascii="Times New Roman" w:hAnsi="Times New Roman"/>
          <w:color w:val="000000"/>
          <w:sz w:val="20"/>
        </w:rPr>
        <w:t xml:space="preserve"> </w:t>
      </w:r>
      <w:r>
        <w:rPr>
          <w:rFonts w:ascii="Arial" w:hAnsi="Arial"/>
          <w:color w:val="000000"/>
          <w:sz w:val="20"/>
        </w:rPr>
        <w:t>shares, respectively, of the Company’s common stock for pre-funded warrants to acquire the same respective number of shares of the Company’s common stock (the "2024 Exchange Warrants"). The fair value of the common stock exchanged approximated the fair value of the pre-funded warrants issued as of the transaction dates and no net proceeds were recorded in connection with the transactions</w:t>
      </w:r>
      <w:r>
        <w:rPr>
          <w:rFonts w:ascii="Times New Roman" w:hAnsi="Times New Roman"/>
          <w:color w:val="000000"/>
          <w:sz w:val="22"/>
        </w:rPr>
        <w:t xml:space="preserve">. </w:t>
      </w:r>
      <w:r>
        <w:rPr>
          <w:rFonts w:ascii="Arial" w:hAnsi="Arial"/>
          <w:color w:val="000000"/>
          <w:sz w:val="20"/>
        </w:rPr>
        <w:t>On December 22, 2025, BVF gave notice of exercise to purchase an aggregate of 178,280</w:t>
      </w:r>
      <w:r>
        <w:rPr>
          <w:rFonts w:ascii="Times New Roman" w:hAnsi="Times New Roman"/>
          <w:color w:val="000000"/>
          <w:sz w:val="20"/>
        </w:rPr>
        <w:t xml:space="preserve"> </w:t>
      </w:r>
      <w:r>
        <w:rPr>
          <w:rFonts w:ascii="Arial" w:hAnsi="Arial"/>
          <w:color w:val="000000"/>
          <w:sz w:val="20"/>
        </w:rPr>
        <w:t>shares of the Company’s common stock in a cashless exchange under the terms of the 2024 Exchange Warrants.</w:t>
      </w:r>
    </w:p>
    <w:p>
      <w:pPr>
        <w:pStyle w:val="TextBody"/>
        <w:bidi w:val="0"/>
        <w:spacing w:before="240" w:after="283"/>
        <w:jc w:val="both"/>
        <w:rPr>
          <w:rFonts w:ascii="Times New Roman" w:hAnsi="Times New Roman"/>
          <w:sz w:val="20"/>
        </w:rPr>
      </w:pPr>
      <w:r>
        <w:rPr>
          <w:rFonts w:ascii="Arial" w:hAnsi="Arial"/>
          <w:color w:val="000000"/>
          <w:sz w:val="20"/>
        </w:rPr>
        <w:t xml:space="preserve">In November 2025, the Company completed the 2025 Offering which included the sale of </w:t>
      </w:r>
      <w:r>
        <w:rPr>
          <w:rFonts w:ascii="Arial" w:hAnsi="Arial"/>
          <w:color w:val="222222"/>
          <w:sz w:val="20"/>
        </w:rPr>
        <w:t>pre-funded warrants to purchase 1,128,949</w:t>
      </w:r>
      <w:r>
        <w:rPr>
          <w:rFonts w:ascii="Times New Roman" w:hAnsi="Times New Roman"/>
          <w:color w:val="222222"/>
          <w:sz w:val="20"/>
        </w:rPr>
        <w:t xml:space="preserve"> </w:t>
      </w:r>
      <w:r>
        <w:rPr>
          <w:rFonts w:ascii="Arial" w:hAnsi="Arial"/>
          <w:color w:val="222222"/>
          <w:sz w:val="20"/>
        </w:rPr>
        <w:t>shares of the Company's common stock at an offering price of $10.5099</w:t>
      </w:r>
      <w:r>
        <w:rPr>
          <w:rFonts w:ascii="Times New Roman" w:hAnsi="Times New Roman"/>
          <w:color w:val="222222"/>
          <w:sz w:val="20"/>
        </w:rPr>
        <w:t xml:space="preserve"> </w:t>
      </w:r>
      <w:r>
        <w:rPr>
          <w:rFonts w:ascii="Arial" w:hAnsi="Arial"/>
          <w:color w:val="222222"/>
          <w:sz w:val="20"/>
        </w:rPr>
        <w:t xml:space="preserve">per underlying share (the "November 2025 Warrants"). </w:t>
      </w:r>
      <w:r>
        <w:rPr>
          <w:rFonts w:ascii="Arial" w:hAnsi="Arial"/>
          <w:color w:val="000000"/>
          <w:sz w:val="20"/>
        </w:rPr>
        <w:t>The Company valued the November 2025 Warrants at issuance and recorded net proceeds of $11.2</w:t>
      </w:r>
      <w:r>
        <w:rPr>
          <w:rFonts w:ascii="Times New Roman" w:hAnsi="Times New Roman"/>
          <w:color w:val="000000"/>
          <w:sz w:val="20"/>
        </w:rPr>
        <w:t xml:space="preserve"> </w:t>
      </w:r>
      <w:r>
        <w:rPr>
          <w:rFonts w:ascii="Arial" w:hAnsi="Arial"/>
          <w:color w:val="000000"/>
          <w:sz w:val="20"/>
        </w:rPr>
        <w:t>million, after deducting underwriters fees, during the year ended December 31, 2025.</w:t>
      </w:r>
    </w:p>
    <w:p>
      <w:pPr>
        <w:pStyle w:val="TextBody"/>
        <w:bidi w:val="0"/>
        <w:spacing w:before="240" w:after="283"/>
        <w:jc w:val="both"/>
        <w:rPr>
          <w:rFonts w:ascii="Times New Roman" w:hAnsi="Times New Roman"/>
          <w:sz w:val="20"/>
        </w:rPr>
      </w:pPr>
      <w:r>
        <w:rPr>
          <w:rFonts w:ascii="Arial" w:hAnsi="Arial"/>
          <w:color w:val="000000"/>
          <w:sz w:val="20"/>
        </w:rPr>
        <w:t>On January 22, 2026, the Company entered into exchange agreements with RA Capital and BVF, pursuant to which RA Capital and BVF exchanged 4,850,000</w:t>
      </w:r>
      <w:r>
        <w:rPr>
          <w:rFonts w:ascii="Times New Roman" w:hAnsi="Times New Roman"/>
          <w:color w:val="000000"/>
          <w:sz w:val="20"/>
        </w:rPr>
        <w:t xml:space="preserve"> </w:t>
      </w:r>
      <w:r>
        <w:rPr>
          <w:rFonts w:ascii="Arial" w:hAnsi="Arial"/>
          <w:color w:val="000000"/>
          <w:sz w:val="20"/>
        </w:rPr>
        <w:t>and 1,750,000</w:t>
      </w:r>
      <w:r>
        <w:rPr>
          <w:rFonts w:ascii="Times New Roman" w:hAnsi="Times New Roman"/>
          <w:color w:val="000000"/>
          <w:sz w:val="20"/>
        </w:rPr>
        <w:t xml:space="preserve"> </w:t>
      </w:r>
      <w:r>
        <w:rPr>
          <w:rFonts w:ascii="Arial" w:hAnsi="Arial"/>
          <w:color w:val="000000"/>
          <w:sz w:val="20"/>
        </w:rPr>
        <w:t>shares, respectively, of the Company’s common stock for pre-funded warrants to acquire the same number of shares of the Company’s common stock (the "2026 Exchange Warrants" and, together with the February 2024 Warrants, the 2024 Exchange Warrants, the November 2025 Warrants, the "Pre-funded Warrants"). The fair value of the common stock exchanged approximated the fair value of the pre-funded warrants issued as of the transaction dates and no net proceeds were recorded in connection with the transactions</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Arial" w:hAnsi="Arial"/>
          <w:color w:val="000000"/>
          <w:sz w:val="20"/>
        </w:rPr>
        <w:t>The Pre-funded Warrants each have an exercise price of $0.0001</w:t>
      </w:r>
      <w:r>
        <w:rPr>
          <w:rFonts w:ascii="Times New Roman" w:hAnsi="Times New Roman"/>
          <w:color w:val="000000"/>
          <w:sz w:val="20"/>
        </w:rPr>
        <w:t xml:space="preserve"> </w:t>
      </w:r>
      <w:r>
        <w:rPr>
          <w:rFonts w:ascii="Arial" w:hAnsi="Arial"/>
          <w:color w:val="000000"/>
          <w:sz w:val="20"/>
        </w:rPr>
        <w:t>per underlying share of common stock, are exercisable at any time until they are fully exercised and will not expire until they are fully exercised. The Pre-funded Warrants are classified as a component of stockholders’ equity within additional paid-in-capital. The number of shares of the Company’s common stock issuable upon exercise of each Pre-funded Warrant is subject to appropriate adjustment in the event of certain stock dividends and distributions, stock splits, stock combinations, reclassifications or similar events affecting shares of the Company’s common stock, as well as upon any distribution of assets, including cash, stock or other property, to the Company’s stockholders.</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i/>
          <w:color w:val="000000"/>
          <w:sz w:val="20"/>
        </w:rPr>
      </w:pPr>
      <w:r>
        <w:rPr>
          <w:rFonts w:ascii="Arial" w:hAnsi="Arial"/>
          <w:b/>
          <w:i/>
          <w:color w:val="000000"/>
          <w:sz w:val="20"/>
        </w:rPr>
        <w:t>14. Net Loss Per Share, Basic and Diluted</w:t>
      </w:r>
    </w:p>
    <w:p>
      <w:pPr>
        <w:pStyle w:val="TextBody"/>
        <w:bidi w:val="0"/>
        <w:spacing w:before="240" w:after="240"/>
        <w:jc w:val="both"/>
        <w:rPr>
          <w:rFonts w:ascii="Times New Roman" w:hAnsi="Times New Roman"/>
          <w:sz w:val="20"/>
        </w:rPr>
      </w:pPr>
      <w:r>
        <w:rPr>
          <w:rFonts w:ascii="Arial" w:hAnsi="Arial"/>
          <w:color w:val="000000"/>
          <w:sz w:val="20"/>
        </w:rPr>
        <w:t>The following table sets forth the computation of basic and diluted net loss per share (in thousands, except share and per share data):</w:t>
      </w:r>
      <w:r>
        <w:rPr>
          <w:rFonts w:ascii="Times New Roman" w:hAnsi="Times New Roman"/>
          <w:color w:val="000000"/>
          <w:sz w:val="20"/>
        </w:rPr>
        <w:t xml:space="preserve"> </w:t>
      </w:r>
    </w:p>
    <w:tbl>
      <w:tblPr>
        <w:tblW w:w="7124" w:type="dxa"/>
        <w:jc w:val="left"/>
        <w:tblInd w:w="0" w:type="dxa"/>
        <w:tblLayout w:type="fixed"/>
        <w:tblCellMar>
          <w:top w:w="28" w:type="dxa"/>
          <w:left w:w="28" w:type="dxa"/>
          <w:bottom w:w="28" w:type="dxa"/>
          <w:right w:w="28" w:type="dxa"/>
        </w:tblCellMar>
      </w:tblPr>
      <w:tblGrid>
        <w:gridCol w:w="3961"/>
        <w:gridCol w:w="146"/>
        <w:gridCol w:w="211"/>
        <w:gridCol w:w="1036"/>
        <w:gridCol w:w="166"/>
        <w:gridCol w:w="146"/>
        <w:gridCol w:w="211"/>
        <w:gridCol w:w="1036"/>
        <w:gridCol w:w="211"/>
      </w:tblGrid>
      <w:tr>
        <w:trPr/>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(68,760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(47,972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 xml:space="preserve">Weighted-average shares outstanding used in </w:t>
              <w:br/>
              <w:t>computing 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68,064,586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55,744,047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(0.86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spacing w:before="240" w:after="240"/>
        <w:jc w:val="both"/>
        <w:rPr>
          <w:rFonts w:ascii="Times New Roman" w:hAnsi="Times New Roman"/>
          <w:sz w:val="20"/>
        </w:rPr>
      </w:pPr>
      <w:r>
        <w:rPr>
          <w:rFonts w:ascii="Arial" w:hAnsi="Arial"/>
          <w:color w:val="000000"/>
          <w:sz w:val="20"/>
        </w:rPr>
        <w:t>The Company has issued and sold Pre-funded Warrants to purchase shares of common stock at a nominal exercise price of $0.0001</w:t>
      </w:r>
      <w:r>
        <w:rPr>
          <w:rFonts w:ascii="Times New Roman" w:hAnsi="Times New Roman"/>
          <w:color w:val="000000"/>
          <w:sz w:val="20"/>
        </w:rPr>
        <w:t xml:space="preserve"> </w:t>
      </w:r>
      <w:r>
        <w:rPr>
          <w:rFonts w:ascii="Arial" w:hAnsi="Arial"/>
          <w:color w:val="000000"/>
          <w:sz w:val="20"/>
        </w:rPr>
        <w:t>(see Note 13, Pre-funded Warrants). The Pre-funded Warrants have an exercise price of $0.0001</w:t>
      </w:r>
      <w:r>
        <w:rPr>
          <w:rFonts w:ascii="Times New Roman" w:hAnsi="Times New Roman"/>
          <w:color w:val="000000"/>
          <w:sz w:val="20"/>
        </w:rPr>
        <w:t xml:space="preserve"> </w:t>
      </w:r>
      <w:r>
        <w:rPr>
          <w:rFonts w:ascii="Arial" w:hAnsi="Arial"/>
          <w:color w:val="000000"/>
          <w:sz w:val="20"/>
        </w:rPr>
        <w:t>per underlying share of common stock of the Company. The shares of common stock into which the Pre-funded Warrants may be exercised are considered outstanding for the purposes of computing earnings per share, because the shares may be issued for little or no consideration, they are fully vested and the Pre-funded Warrants are immediately exercisable upon their issuance date.</w:t>
      </w:r>
    </w:p>
    <w:p>
      <w:pPr>
        <w:pStyle w:val="TextBody"/>
        <w:bidi w:val="0"/>
        <w:spacing w:before="0" w:after="240"/>
        <w:jc w:val="both"/>
        <w:rPr>
          <w:rFonts w:ascii="Times New Roman" w:hAnsi="Times New Roman"/>
          <w:sz w:val="20"/>
        </w:rPr>
      </w:pPr>
      <w:r>
        <w:rPr>
          <w:rFonts w:ascii="Arial" w:hAnsi="Arial"/>
          <w:color w:val="000000"/>
          <w:sz w:val="20"/>
        </w:rPr>
        <w:t>The following outstanding shares of potentially dilutive securities were excluded from the computation of diluted net loss per share for the periods presented because including them would have been antidilutive:</w:t>
      </w:r>
      <w:r>
        <w:rPr>
          <w:rFonts w:ascii="Times New Roman" w:hAnsi="Times New Roman"/>
          <w:color w:val="000000"/>
          <w:sz w:val="20"/>
        </w:rPr>
        <w:t xml:space="preserve"> </w:t>
      </w:r>
    </w:p>
    <w:tbl>
      <w:tblPr>
        <w:tblW w:w="7519" w:type="dxa"/>
        <w:jc w:val="left"/>
        <w:tblInd w:w="0" w:type="dxa"/>
        <w:tblLayout w:type="fixed"/>
        <w:tblCellMar>
          <w:top w:w="28" w:type="dxa"/>
          <w:left w:w="28" w:type="dxa"/>
          <w:bottom w:w="28" w:type="dxa"/>
          <w:right w:w="28" w:type="dxa"/>
        </w:tblCellMar>
      </w:tblPr>
      <w:tblGrid>
        <w:gridCol w:w="4186"/>
        <w:gridCol w:w="146"/>
        <w:gridCol w:w="146"/>
        <w:gridCol w:w="1066"/>
        <w:gridCol w:w="146"/>
        <w:gridCol w:w="146"/>
        <w:gridCol w:w="146"/>
        <w:gridCol w:w="1066"/>
        <w:gridCol w:w="47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 options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11,537,289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10,659,866</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Restricted stock units subject to future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1,594,655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748,380</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2020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316,073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758,467</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Common stock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53,669</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13,478,017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12,220,382</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b/>
          <w:i/>
          <w:color w:val="000000"/>
          <w:sz w:val="20"/>
        </w:rPr>
        <w:t>15. Derivative Liability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Company identified an embedded derivative resulting from the change of control provision in the CFF Agreement. Embedded derivatives that are required to be bifurcated from the underlying host instrument are accounted for and valued as separate financial instruments. At the inception of the derivative in 2017, the Company recognized this derivative as a liability and revenue was reduced by the initial fair value of the derivative liability. The Company remeasures the derivative liability to fair value at each reporting period and records the change in fair value of the derivative liability as other income (expense), net. The Company uses a present value analysis with multiple scenarios, which incorporates assumptions and estimates to value the derivative instrument. The Company assesses these assumptions and estimates on a periodic basis as additional information impacting the assumptions is obtained. Estimates and assumptions impacting the fair value measurement include the change of control payment to CFF (range of zero</w:t>
      </w:r>
      <w:r>
        <w:rPr>
          <w:rFonts w:ascii="Times New Roman" w:hAnsi="Times New Roman"/>
          <w:color w:val="000000"/>
          <w:sz w:val="20"/>
        </w:rPr>
        <w:t xml:space="preserve"> </w:t>
      </w:r>
      <w:r>
        <w:rPr>
          <w:rFonts w:ascii="Arial" w:hAnsi="Arial"/>
          <w:color w:val="000000"/>
          <w:sz w:val="20"/>
        </w:rPr>
        <w:t>to $18.9</w:t>
      </w:r>
      <w:r>
        <w:rPr>
          <w:rFonts w:ascii="Times New Roman" w:hAnsi="Times New Roman"/>
          <w:color w:val="000000"/>
          <w:sz w:val="20"/>
        </w:rPr>
        <w:t xml:space="preserve"> </w:t>
      </w:r>
      <w:r>
        <w:rPr>
          <w:rFonts w:ascii="Arial" w:hAnsi="Arial"/>
          <w:color w:val="000000"/>
          <w:sz w:val="20"/>
        </w:rPr>
        <w:t>million at March 31, 2026 and December 31, 2025), the probability of a change of control event (range of 5.0% to 50.0% at March 31, 2026 and December 31, 2025), the probability of the product achieving development or commercial status at time of change of control (range of 4.8% to 17.2% at March 31, 2026 and December 31, 2025) and the discount rate (15% at March 31, 2026 and December 31, 2025). The Company determined the estimated fair value of this liability as of the inception date of the CFF Agreement and concluded that the amount was immaterial. The Company determined the fair value of this derivative liability was $0.4</w:t>
      </w:r>
      <w:r>
        <w:rPr>
          <w:rFonts w:ascii="Times New Roman" w:hAnsi="Times New Roman"/>
          <w:color w:val="000000"/>
          <w:sz w:val="20"/>
        </w:rPr>
        <w:t xml:space="preserve"> </w:t>
      </w:r>
      <w:r>
        <w:rPr>
          <w:rFonts w:ascii="Arial" w:hAnsi="Arial"/>
          <w:color w:val="000000"/>
          <w:sz w:val="20"/>
        </w:rPr>
        <w:t>million as of each of March 31, 2026</w:t>
      </w:r>
      <w:r>
        <w:rPr>
          <w:rFonts w:ascii="Times New Roman" w:hAnsi="Times New Roman"/>
          <w:color w:val="000000"/>
          <w:sz w:val="20"/>
        </w:rPr>
        <w:t xml:space="preserve"> </w:t>
      </w:r>
      <w:r>
        <w:rPr>
          <w:rFonts w:ascii="Arial" w:hAnsi="Arial"/>
          <w:color w:val="000000"/>
          <w:sz w:val="20"/>
        </w:rPr>
        <w:t>and December 31, 2025.</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16. Related Party Transactions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March 2024, the Company entered into a research and option agreement (the “Reignite Agreement”) with Reignite Therapeutics Inc. (“Reignite”), which was founded by David Kirn, M.D., Chief Executive Officer of the Company. Reignite has the expertise to develop high-capacity, helper-dependent adenovirus capsids which the Company plans to utilize as they expand their therapeutic capsid evolution platform. Reignite and the Company plan to collaborate on a one-to-two year program to develop these high capacity, helper-dependent adenovirus capsids. Under the Reignite Agreement, the Company shall have the final authority to amend and make updates to the plan and budget of the program. Further, the Company is responsible for the funding of the related research which includes the budgeted full-time employees and CRO costs, equipment costs not to exceed $60</w:t>
      </w:r>
      <w:r>
        <w:rPr>
          <w:rFonts w:ascii="Times New Roman" w:hAnsi="Times New Roman"/>
          <w:color w:val="000000"/>
          <w:sz w:val="20"/>
        </w:rPr>
        <w:t xml:space="preserve"> </w:t>
      </w:r>
      <w:r>
        <w:rPr>
          <w:rFonts w:ascii="Arial" w:hAnsi="Arial"/>
          <w:color w:val="000000"/>
          <w:sz w:val="20"/>
        </w:rPr>
        <w:t>thousand and all other costs, in total not to exceed $1.5</w:t>
      </w:r>
      <w:r>
        <w:rPr>
          <w:rFonts w:ascii="Times New Roman" w:hAnsi="Times New Roman"/>
          <w:color w:val="000000"/>
          <w:sz w:val="20"/>
        </w:rPr>
        <w:t xml:space="preserve"> </w:t>
      </w:r>
      <w:r>
        <w:rPr>
          <w:rFonts w:ascii="Arial" w:hAnsi="Arial"/>
          <w:color w:val="000000"/>
          <w:sz w:val="20"/>
        </w:rPr>
        <w:t>million in any year of the program. The Company will have an option to acquire up to three</w:t>
      </w:r>
      <w:r>
        <w:rPr>
          <w:rFonts w:ascii="Times New Roman" w:hAnsi="Times New Roman"/>
          <w:color w:val="000000"/>
          <w:sz w:val="20"/>
        </w:rPr>
        <w:t xml:space="preserve"> </w:t>
      </w:r>
      <w:r>
        <w:rPr>
          <w:rFonts w:ascii="Arial" w:hAnsi="Arial"/>
          <w:color w:val="000000"/>
          <w:sz w:val="20"/>
        </w:rPr>
        <w:t>capsids resulting from the program. The Company shall pay to Reignite an option exercise fee of $1.0</w:t>
      </w:r>
      <w:r>
        <w:rPr>
          <w:rFonts w:ascii="Times New Roman" w:hAnsi="Times New Roman"/>
          <w:color w:val="000000"/>
          <w:sz w:val="20"/>
        </w:rPr>
        <w:t xml:space="preserve"> </w:t>
      </w:r>
      <w:r>
        <w:rPr>
          <w:rFonts w:ascii="Arial" w:hAnsi="Arial"/>
          <w:color w:val="000000"/>
          <w:sz w:val="20"/>
        </w:rPr>
        <w:t>million per selected capsid for which the Company has exercised its option. The maximum total amount payable is $3.0</w:t>
      </w:r>
      <w:r>
        <w:rPr>
          <w:rFonts w:ascii="Times New Roman" w:hAnsi="Times New Roman"/>
          <w:color w:val="000000"/>
          <w:sz w:val="20"/>
        </w:rPr>
        <w:t xml:space="preserve"> </w:t>
      </w:r>
      <w:r>
        <w:rPr>
          <w:rFonts w:ascii="Arial" w:hAnsi="Arial"/>
          <w:color w:val="000000"/>
          <w:sz w:val="20"/>
        </w:rPr>
        <w:t>million.</w:t>
      </w:r>
    </w:p>
    <w:p>
      <w:pPr>
        <w:pStyle w:val="TextBody"/>
        <w:bidi w:val="0"/>
        <w:spacing w:before="240" w:after="283"/>
        <w:jc w:val="both"/>
        <w:rPr>
          <w:rFonts w:ascii="Times New Roman" w:hAnsi="Times New Roman"/>
          <w:sz w:val="20"/>
        </w:rPr>
      </w:pPr>
      <w:r>
        <w:rPr>
          <w:rFonts w:ascii="Arial" w:hAnsi="Arial"/>
          <w:color w:val="000000"/>
          <w:sz w:val="20"/>
        </w:rPr>
        <w:t>During the three months ended March 31, 2026 and 2025, the Company paid Reignite $0.4</w:t>
      </w:r>
      <w:r>
        <w:rPr>
          <w:rFonts w:ascii="Times New Roman" w:hAnsi="Times New Roman"/>
          <w:color w:val="000000"/>
          <w:sz w:val="20"/>
        </w:rPr>
        <w:t xml:space="preserve"> </w:t>
      </w:r>
      <w:r>
        <w:rPr>
          <w:rFonts w:ascii="Arial" w:hAnsi="Arial"/>
          <w:color w:val="000000"/>
          <w:sz w:val="20"/>
        </w:rPr>
        <w:t>million and $0.1</w:t>
      </w:r>
      <w:r>
        <w:rPr>
          <w:rFonts w:ascii="Times New Roman" w:hAnsi="Times New Roman"/>
          <w:color w:val="000000"/>
          <w:sz w:val="20"/>
        </w:rPr>
        <w:t xml:space="preserve"> </w:t>
      </w:r>
      <w:r>
        <w:rPr>
          <w:rFonts w:ascii="Arial" w:hAnsi="Arial"/>
          <w:color w:val="000000"/>
          <w:sz w:val="20"/>
        </w:rPr>
        <w:t>million, respectively, for research and development expenses. As of March 31, 2026, the Company owes $0.1</w:t>
      </w:r>
      <w:r>
        <w:rPr>
          <w:rFonts w:ascii="Times New Roman" w:hAnsi="Times New Roman"/>
          <w:color w:val="000000"/>
          <w:sz w:val="20"/>
        </w:rPr>
        <w:t xml:space="preserve"> </w:t>
      </w:r>
      <w:r>
        <w:rPr>
          <w:rFonts w:ascii="Arial" w:hAnsi="Arial"/>
          <w:color w:val="000000"/>
          <w:sz w:val="20"/>
        </w:rPr>
        <w:t>million to Reignite for unpaid research and development expense. No</w:t>
      </w:r>
      <w:r>
        <w:rPr>
          <w:rFonts w:ascii="Times New Roman" w:hAnsi="Times New Roman"/>
          <w:color w:val="000000"/>
          <w:sz w:val="20"/>
        </w:rPr>
        <w:t xml:space="preserve"> </w:t>
      </w:r>
      <w:r>
        <w:rPr>
          <w:rFonts w:ascii="Arial" w:hAnsi="Arial"/>
          <w:color w:val="000000"/>
          <w:sz w:val="20"/>
        </w:rPr>
        <w:t>option exercise fees were incurred during the three months ended March 31, 2026.</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17.</w:t>
      </w:r>
      <w:r>
        <w:rPr>
          <w:rFonts w:ascii="Times New Roman" w:hAnsi="Times New Roman"/>
          <w:color w:val="000000"/>
          <w:sz w:val="20"/>
        </w:rPr>
        <w:t xml:space="preserve"> </w:t>
      </w:r>
      <w:r>
        <w:rPr>
          <w:rFonts w:ascii="Arial" w:hAnsi="Arial"/>
          <w:b/>
          <w:i/>
          <w:color w:val="000000"/>
          <w:sz w:val="20"/>
        </w:rPr>
        <w:t>401(k) Plan</w:t>
      </w:r>
    </w:p>
    <w:p>
      <w:pPr>
        <w:pStyle w:val="TextBody"/>
        <w:bidi w:val="0"/>
        <w:spacing w:before="240" w:after="283"/>
        <w:jc w:val="both"/>
        <w:rPr>
          <w:rFonts w:ascii="Times New Roman" w:hAnsi="Times New Roman"/>
          <w:sz w:val="20"/>
        </w:rPr>
      </w:pPr>
      <w:r>
        <w:rPr>
          <w:rFonts w:ascii="Arial" w:hAnsi="Arial"/>
          <w:color w:val="000000"/>
          <w:sz w:val="20"/>
        </w:rPr>
        <w:t>In 2014, the Company adopted a 401(k) plan for all employees who have met certain eligibility requirements. The 401(k) plan allows employees to make pre-tax and post-tax contributions up to the maximum allowable amount set by the Internal Revenue Service. The Company made contributions to the 401(k) plan for all eligible participants and recorded contribution expenses of $0.6</w:t>
      </w:r>
      <w:r>
        <w:rPr>
          <w:rFonts w:ascii="Times New Roman" w:hAnsi="Times New Roman"/>
          <w:color w:val="000000"/>
          <w:sz w:val="20"/>
        </w:rPr>
        <w:t xml:space="preserve"> </w:t>
      </w:r>
      <w:r>
        <w:rPr>
          <w:rFonts w:ascii="Arial" w:hAnsi="Arial"/>
          <w:color w:val="000000"/>
          <w:sz w:val="20"/>
        </w:rPr>
        <w:t>million for each of the three months ended March 31, 2026 and 2025, respectively.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18.</w:t>
      </w:r>
      <w:r>
        <w:rPr>
          <w:rFonts w:ascii="Times New Roman" w:hAnsi="Times New Roman"/>
          <w:color w:val="000000"/>
          <w:sz w:val="20"/>
        </w:rPr>
        <w:t xml:space="preserve"> </w:t>
      </w:r>
      <w:r>
        <w:rPr>
          <w:rFonts w:ascii="Arial" w:hAnsi="Arial"/>
          <w:b/>
          <w:i/>
          <w:color w:val="000000"/>
          <w:sz w:val="20"/>
        </w:rPr>
        <w:t>Segment Information</w:t>
      </w:r>
    </w:p>
    <w:p>
      <w:pPr>
        <w:pStyle w:val="TextBody"/>
        <w:bidi w:val="0"/>
        <w:spacing w:before="240" w:after="283"/>
        <w:jc w:val="both"/>
        <w:rPr>
          <w:rFonts w:ascii="Times New Roman" w:hAnsi="Times New Roman"/>
          <w:sz w:val="20"/>
        </w:rPr>
      </w:pPr>
      <w:r>
        <w:rPr>
          <w:rFonts w:ascii="Arial" w:hAnsi="Arial"/>
          <w:color w:val="222222"/>
          <w:sz w:val="20"/>
        </w:rPr>
        <w:t xml:space="preserve">The Company operates in </w:t>
      </w:r>
      <w:r>
        <w:rPr>
          <w:rFonts w:ascii="Arial" w:hAnsi="Arial"/>
          <w:color w:val="333333"/>
          <w:sz w:val="20"/>
        </w:rPr>
        <w:t>a single</w:t>
      </w:r>
      <w:r>
        <w:rPr>
          <w:rFonts w:ascii="Times New Roman" w:hAnsi="Times New Roman"/>
          <w:color w:val="333333"/>
          <w:sz w:val="20"/>
        </w:rPr>
        <w:t xml:space="preserve"> </w:t>
      </w:r>
      <w:r>
        <w:rPr>
          <w:rFonts w:ascii="Arial" w:hAnsi="Arial"/>
          <w:color w:val="333333"/>
          <w:sz w:val="20"/>
        </w:rPr>
        <w:t>operating and reportable segment</w:t>
      </w:r>
      <w:r>
        <w:rPr>
          <w:rFonts w:ascii="Arial" w:hAnsi="Arial"/>
          <w:color w:val="222222"/>
          <w:sz w:val="20"/>
        </w:rPr>
        <w:t xml:space="preserve">, which includes all activities related to discovery, development and commercialization of durable and disease-targeted therapeutics. The determination of a single business segment is consistent with the financial information regularly provided to the Company's chief operating decision maker (the "CODM") who </w:t>
      </w:r>
      <w:r>
        <w:rPr>
          <w:rFonts w:ascii="Arial" w:hAnsi="Arial"/>
          <w:color w:val="000000"/>
          <w:sz w:val="20"/>
        </w:rPr>
        <w:t>manages the business activities on a consolidated basis. The Company's CODM is its Chief Executive Officer who assesses performance for the business and decides how to allocate resources based on net loss that also is reported on the statements of operations. In making this assessment, the CODM reviews and evaluates net loss to monitor budget versus actual results and to analyze cash flows for purposes of allocating resources and assessing financial performance.</w:t>
      </w:r>
    </w:p>
    <w:p>
      <w:pPr>
        <w:pStyle w:val="TextBody"/>
        <w:bidi w:val="0"/>
        <w:jc w:val="left"/>
        <w:rPr/>
      </w:pPr>
      <w:r>
        <w:rPr/>
        <w:t> </w:t>
      </w:r>
    </w:p>
    <w:p>
      <w:pPr>
        <w:pStyle w:val="TextBody"/>
        <w:bidi w:val="0"/>
        <w:jc w:val="both"/>
        <w:rPr>
          <w:rFonts w:ascii="Times New Roman" w:hAnsi="Times New Roman"/>
          <w:sz w:val="20"/>
        </w:rPr>
      </w:pPr>
      <w:r>
        <w:rPr>
          <w:rFonts w:ascii="Arial" w:hAnsi="Arial"/>
          <w:color w:val="222222"/>
          <w:sz w:val="20"/>
        </w:rPr>
        <w:t>In addition to the significant expense categories included within net loss presented in the Company's condensed statements of operations,</w:t>
      </w:r>
      <w:r>
        <w:rPr>
          <w:rFonts w:ascii="Times New Roman" w:hAnsi="Times New Roman"/>
          <w:color w:val="222222"/>
          <w:sz w:val="20"/>
        </w:rPr>
        <w:t xml:space="preserve"> </w:t>
      </w:r>
      <w:r>
        <w:rPr>
          <w:rFonts w:ascii="Arial" w:hAnsi="Arial"/>
          <w:color w:val="222222"/>
          <w:sz w:val="20"/>
        </w:rPr>
        <w:t xml:space="preserve">the following table provides disaggregated amounts that comprise research and development expenses (in thousands): </w:t>
      </w:r>
    </w:p>
    <w:p>
      <w:pPr>
        <w:pStyle w:val="TextBody"/>
        <w:bidi w:val="0"/>
        <w:jc w:val="both"/>
        <w:rPr/>
      </w:pPr>
      <w:r>
        <w:rPr/>
        <w:t> </w:t>
      </w:r>
    </w:p>
    <w:tbl>
      <w:tblPr>
        <w:tblW w:w="7731" w:type="dxa"/>
        <w:jc w:val="left"/>
        <w:tblInd w:w="0" w:type="dxa"/>
        <w:tblLayout w:type="fixed"/>
        <w:tblCellMar>
          <w:top w:w="28" w:type="dxa"/>
          <w:left w:w="28" w:type="dxa"/>
          <w:bottom w:w="28" w:type="dxa"/>
          <w:right w:w="28" w:type="dxa"/>
        </w:tblCellMar>
      </w:tblPr>
      <w:tblGrid>
        <w:gridCol w:w="4846"/>
        <w:gridCol w:w="146"/>
        <w:gridCol w:w="256"/>
        <w:gridCol w:w="841"/>
        <w:gridCol w:w="177"/>
        <w:gridCol w:w="177"/>
        <w:gridCol w:w="256"/>
        <w:gridCol w:w="841"/>
        <w:gridCol w:w="191"/>
      </w:tblGrid>
      <w:tr>
        <w:trPr/>
        <w:tc>
          <w:tcPr>
            <w:tcW w:w="4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 research and development expenses for 4D-150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42,682</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 xml:space="preserve">Unallocated personnel costs (including </w:t>
              <w:b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14,530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All other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7,768</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10,729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64,980</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40,699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Effective in the first quarter of 2026, the Company updated the presentation of segment operating expenses provided to the CODM. This change in the presentation reflects how segment information is currently reviewed by the CODM. Prior period segment information has been recast to conform to the current period presentation.</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 measure of segment assets is reported on the balance sheets as total assets. As of and for the three months ended March 31, 2026 and 2025, all of the Company’s long-lived assets were located in the United States. The Company's revenues by geographic region, based on the location of the customer, is disclosed in Note 2, Summary of Significant Accounting Policies.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10" w:name="mda"/>
      <w:bookmarkEnd w:id="10"/>
      <w:r>
        <w:rPr>
          <w:rFonts w:ascii="Arial" w:hAnsi="Arial"/>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both"/>
        <w:rPr>
          <w:rFonts w:ascii="Arial" w:hAnsi="Arial"/>
          <w:i/>
          <w:color w:val="000000"/>
          <w:sz w:val="20"/>
        </w:rPr>
      </w:pPr>
      <w:r>
        <w:rPr>
          <w:rFonts w:ascii="Arial" w:hAnsi="Arial"/>
          <w:i/>
          <w:color w:val="000000"/>
          <w:sz w:val="20"/>
        </w:rPr>
        <w:t>You should read the following discussion and analysis of our financial condition and results of operations together with our condensed financial statements and the related notes included elsewhere in this Quarterly Report on Form 10-Q (this “report”). This discussion and analysis and other parts of this report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could differ materially from those anticipated in these forward-looking statements as a result of several factors, including those set forth under the section titled “Risk Factors” and elsewhere in this report.</w:t>
      </w:r>
    </w:p>
    <w:p>
      <w:pPr>
        <w:pStyle w:val="TextBody"/>
        <w:bidi w:val="0"/>
        <w:spacing w:before="240" w:after="283"/>
        <w:jc w:val="both"/>
        <w:rPr>
          <w:rFonts w:ascii="Times New Roman" w:hAnsi="Times New Roman"/>
          <w:sz w:val="20"/>
        </w:rPr>
      </w:pPr>
      <w:r>
        <w:rPr>
          <w:rFonts w:ascii="Arial" w:hAnsi="Arial"/>
          <w:b/>
          <w:color w:val="000000"/>
          <w:sz w:val="20"/>
        </w:rPr>
        <w:t>Overview</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are a leading late-stage biotechnology company advancing durable and disease-targeted therapeutics with potential to transform treatment paradigms and provide unprecedented benefits to patients. Our primary focus is advancing 4D-150 for wet age-related macular degeneration (“wet AMD”) and diabetic macular edema (“DME”) through late-stage studies and potential commercialization and advancing our other pipeline programs, 4D-175 for geographic atrophy, 4D-710 for CF lung disease, and 4D-725 for A1AT lung disease primarily through strategic funding alternatives. We believe we are well positioned to discover, develop, manufacture and if approved, commercialize targeted genetic medicines with the potential to transform the lives of patients suffering from debilitating diseases.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lead product candidate 4D-150 utilizes our proprietary R100 vector and a transgene encoding anti-VEGF biologics: aflibercept and an RNA interference (RNAi) approach targeting VEGF-C. The goal for our development and potential commercialization of 4D-150 is to transform the standard of care for large market retinal vascular diseases with a safe, in-office, and durable lifelong backbone therapy substantially reducing treatment burden and improving long-term vision outcomes. 4D-150 is initially being developed for the treatment of wet AMD and DME.</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In March 2025, we initiated 4FRONT-1, our first Phase 3 trial of 4D-150 in wet AMD. Subsequently in February 2026, we announced enrollment completion within an approximately 11-month period, ahead of initial projections, with the clinical trial overenrolled and expected to exceed 500 patients randomized, reflecting strong interest from investigators and patients. We anticipate topline data in the first half of 2027.</w:t>
      </w:r>
    </w:p>
    <w:p>
      <w:pPr>
        <w:pStyle w:val="TextBody"/>
        <w:bidi w:val="0"/>
        <w:spacing w:before="240" w:after="283"/>
        <w:jc w:val="both"/>
        <w:rPr>
          <w:rFonts w:ascii="Times New Roman" w:hAnsi="Times New Roman"/>
          <w:sz w:val="20"/>
        </w:rPr>
      </w:pPr>
      <w:r>
        <w:rPr>
          <w:rFonts w:ascii="Arial" w:hAnsi="Arial"/>
          <w:color w:val="000000"/>
          <w:sz w:val="20"/>
        </w:rPr>
        <w:t>Additionally, 4FRONT-2, our second Phase 3 trial of 4D-150 in wet AMD, was initiated in June 2025. 4FRONT-2 is a global clinical trial and is enrolling both treatment-naïve and recently diagnosed, treatment-experienced patients. We expect to complete enrollment for 4FRONT-2 in the second half of 2026 with topline data anticipated in the second half of 2027.</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In November 2025, we announced positive long-term interim results from the ongoing 4D-150 PRISM Phase 1/2 clinical trial in wet AMD. 4D-150 demonstrated consistent and durable benefit across all three patient cohorts as evidenced by maintenance of visual acuity, control of retinal anatomy and reduction of treatment burden at all time points with 1.5 to 2 years of follow-up. In addition, a consistent dose response was observed between 3E10 vg/eye, the selected Phase 3 dose, and the lower dose of 1E10 vg/eye. The Phase 3 dose achieved clinically meaningful reductions in treatment burden. No new cases of intraocular inflammation were reported during this follow-up period with up to approximately 3.5 years of follow-up.</w:t>
      </w:r>
    </w:p>
    <w:p>
      <w:pPr>
        <w:pStyle w:val="TextBody"/>
        <w:bidi w:val="0"/>
        <w:spacing w:before="240" w:after="283"/>
        <w:jc w:val="both"/>
        <w:rPr>
          <w:rFonts w:ascii="Arial" w:hAnsi="Arial"/>
          <w:color w:val="000000"/>
          <w:sz w:val="20"/>
        </w:rPr>
      </w:pPr>
      <w:r>
        <w:rPr>
          <w:rFonts w:ascii="Arial" w:hAnsi="Arial"/>
          <w:color w:val="000000"/>
          <w:sz w:val="20"/>
        </w:rPr>
        <w:t>In July 2025, we presented positive 60-week results from the 4D-150 SPECTRA clinical trial in DME where 4D-150 continued to be well tolerated with no intraocular inflammation observed at any timepoint or dose level. In addition, 4D-150 demonstrated durable and dose-dependent clinical activity with sustained gains in visual acuity and anatomic control between 3E10 vg/eye, the selected Phase 3 dose, and lower doses. The Phase 3 dose achieved clinically meaningful 78% reduction in treatment burden vs. projected on-label aflibercept 2mg Q8W. The FDA and EMA are aligned on a proposed single Phase 3 clinical trial being acceptable for possible future licensure for 4D-150 in DME.</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In October 2025, we entered into a Collaboration and License Agreement (the “Otsuka Collaboration and License Agreement”) with Otsuka Pharmaceutical Co., Ltd., ("Otsuka") pursuant to which we granted Otsuka exclusive rights to develop and commercialize 4D-150 for retinal vascular diseases, including wet AMD and DME, in Japan, China, Australia, and other Asia-Pacific markets (the "Otsuka Territory"). Otsuka has agreed to lead all regulatory and commercialization activities in the Otsuka Territory. We have agreed to continue to lead all Phase 3 clinical activity globally, including within the Otsuka Territory. Otsuka made an upfront cash payment of $85.0 million and agreed to provide certain cost sharing for global development activities. In addition, we are eligible for up to $335.5 million in potential regulatory and commercial milestone payments and tiered double-digit royalties depending on net sales in the Otsuka Territory. We retain full development and commercialization rights for 4D-150 outside the Otsuka Territory, including the United States, Latin America, and Europe.</w:t>
      </w:r>
    </w:p>
    <w:p>
      <w:pPr>
        <w:pStyle w:val="TextBody"/>
        <w:bidi w:val="0"/>
        <w:spacing w:before="240" w:after="283"/>
        <w:jc w:val="both"/>
        <w:rPr>
          <w:rFonts w:ascii="Arial" w:hAnsi="Arial"/>
          <w:color w:val="000000"/>
          <w:sz w:val="20"/>
        </w:rPr>
      </w:pPr>
      <w:r>
        <w:rPr>
          <w:rFonts w:ascii="Arial" w:hAnsi="Arial"/>
          <w:color w:val="000000"/>
          <w:sz w:val="20"/>
        </w:rPr>
        <w:t>Our other retina pipeline program is 4D-175, which utilizes the intravitreal R100 AAV vector and a codon-optimized transgene encoding a highly functional shortened form of human complement factor H (sCFH) for treatment of geographic atrophy. The sCFH payload is designed to restore normal complement regulation, which has the potential to slow progression of disease. We currently maintain an active IND and continue to evaluate strategic funding alternatives to advance the program into the clinic.</w:t>
      </w:r>
    </w:p>
    <w:p>
      <w:pPr>
        <w:pStyle w:val="TextBody"/>
        <w:bidi w:val="0"/>
        <w:spacing w:before="240" w:after="283"/>
        <w:jc w:val="both"/>
        <w:rPr>
          <w:rFonts w:ascii="Arial" w:hAnsi="Arial"/>
          <w:color w:val="000000"/>
          <w:sz w:val="20"/>
        </w:rPr>
      </w:pPr>
      <w:r>
        <w:rPr>
          <w:rFonts w:ascii="Arial" w:hAnsi="Arial"/>
          <w:color w:val="000000"/>
          <w:sz w:val="20"/>
        </w:rPr>
        <w:t>Our most advanced pulmonary pipeline program is 4D-710, which we believe is the first known genetic medicine to demonstrate successful delivery and durable expression of the cystic fibrosis transmembrane conductance regulator (“CFTR”) transgene in the lungs of people with cystic fibrosis ("CF") and is currently in Phase 2 development. We believe these results will translate into durable clinical improvements in people with CF, including improved lung function and quality of life. In October 2025, we announced a funding agreement with the Cystic Fibrosis Foundation ("CFF") to provide up to $11.0 million in additional funding, including $7.5 million in an initial tranche, which was completed in October 2025. The proceeds of this funding agreement enabled the start of the Phase 2 stage of the AEROW clinical trial, redosing, and Phase 3 readiness activities.</w:t>
      </w:r>
    </w:p>
    <w:p>
      <w:pPr>
        <w:pStyle w:val="TextBody"/>
        <w:bidi w:val="0"/>
        <w:spacing w:before="240" w:after="283"/>
        <w:jc w:val="both"/>
        <w:rPr>
          <w:rFonts w:ascii="Times New Roman" w:hAnsi="Times New Roman"/>
          <w:sz w:val="20"/>
        </w:rPr>
      </w:pPr>
      <w:r>
        <w:rPr>
          <w:rFonts w:ascii="Arial" w:hAnsi="Arial"/>
          <w:color w:val="000000"/>
          <w:sz w:val="20"/>
        </w:rPr>
        <w:t>We have funded our operations primarily through the sale and issuance of equity securities and to a lesser extent from cash received pursuant to our collaboration and license agreements.</w:t>
      </w:r>
      <w:r>
        <w:rPr>
          <w:rFonts w:ascii="Times New Roman" w:hAnsi="Times New Roman"/>
          <w:color w:val="222222"/>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have incurred significant operating losses. Our net losses were $68.8 million and $48.0 million for the three months ended March 31, 2026 and 2025, respectively. As of March 31, 2026, we had an accumulated deficit of $785.1 million. We do not expect positive cash flows from operations in the foreseeable future. Our net losses may fluctuate significantly from quarter-to-quarter and year-to-year, depending on the timing of our clinical trials and our expenditures on other research and development activities.</w:t>
      </w:r>
    </w:p>
    <w:p>
      <w:pPr>
        <w:pStyle w:val="TextBody"/>
        <w:bidi w:val="0"/>
        <w:spacing w:before="240" w:after="283"/>
        <w:jc w:val="both"/>
        <w:rPr>
          <w:rFonts w:ascii="Times New Roman" w:hAnsi="Times New Roman"/>
          <w:sz w:val="20"/>
        </w:rPr>
      </w:pPr>
      <w:r>
        <w:rPr>
          <w:rFonts w:ascii="Arial" w:hAnsi="Arial"/>
          <w:color w:val="000000"/>
          <w:sz w:val="20"/>
        </w:rPr>
        <w:t>We do not have any products approved for sale and have not generated any revenue from product sales since our inception. Our ability to generate product revenue will depend on the successful development, regulatory approval and eventual commercialization of one or more of our product candidates, if approved.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will require substantial additional funding to support our continuing operations and further the development of our product candidates. Until such time as we can generate significant revenue from product sales, if ever, we expect to finance our operations through the sale of equity, debt financings, or other capital sources, which could include income from collaborations, strategic partnerships, or other strategic arrangements, for the foreseeable future. Adequate funding may not be available when needed or on terms acceptable to us, or at all. Our ability to raise additional funds may be adversely impacted by potential worsening global economic conditions and the recent disruptions to, and volatility in, the credit and financial markets in the United States and worldwide resulting from conflicts in the Middle East, the lingering impact of the COVID-19 pandemic, the war in Ukraine, rising interest rates, tariffs, inflation, government shutdowns and otherwise. If we fail to obtain necessary capital when needed on acceptable terms, or at all, it could force us to delay, limit, reduce or terminate our product development programs, commercialization efforts or other operations. Insufficient liquidity may also require us to relinquish rights to product candidates at an earlier stage of development or on less favorable terms than we would otherwise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choose. We cannot assure you that we will ever be profitable or generate positive cash flow from operating activities.</w:t>
      </w:r>
    </w:p>
    <w:p>
      <w:pPr>
        <w:pStyle w:val="TextBody"/>
        <w:bidi w:val="0"/>
        <w:spacing w:before="240" w:after="283"/>
        <w:jc w:val="both"/>
        <w:rPr>
          <w:rFonts w:ascii="Arial" w:hAnsi="Arial"/>
          <w:b/>
          <w:color w:val="000000"/>
          <w:sz w:val="20"/>
        </w:rPr>
      </w:pPr>
      <w:r>
        <w:rPr>
          <w:rFonts w:ascii="Arial" w:hAnsi="Arial"/>
          <w:b/>
          <w:color w:val="000000"/>
          <w:sz w:val="20"/>
        </w:rPr>
        <w:t>Restructuring and Other Charges</w:t>
      </w:r>
    </w:p>
    <w:p>
      <w:pPr>
        <w:pStyle w:val="TextBody"/>
        <w:bidi w:val="0"/>
        <w:spacing w:before="240" w:after="120"/>
        <w:jc w:val="both"/>
        <w:rPr>
          <w:rFonts w:ascii="Times New Roman" w:hAnsi="Times New Roman"/>
          <w:sz w:val="20"/>
        </w:rPr>
      </w:pPr>
      <w:r>
        <w:rPr>
          <w:rFonts w:ascii="Arial" w:hAnsi="Arial"/>
          <w:color w:val="000000"/>
          <w:sz w:val="20"/>
        </w:rPr>
        <w:t>On July 2, 2025, we announced a workforce reduction of approximately 25% of current and planned roles, primarily in the areas supporting early-stage research and development and support functions following a strategic pipeline prioritization to focus on the development of 4D-150 and 4D-710. In connection with the workforce reduction, the Company recorded total expense of $3.2 million including severance, benefits and related termination costs during the year ended December 31, 2025. There are no future payments in connection with the workforce reduction.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color w:val="000000"/>
          <w:sz w:val="20"/>
        </w:rPr>
        <w:t>Components of Results of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Revenue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revenue to date has been generated through payments from our collaboration and license agreements, primarily from upfront and milestone payments and clinical trial cost sharing and</w:t>
      </w:r>
      <w:r>
        <w:rPr>
          <w:rFonts w:ascii="Times New Roman" w:hAnsi="Times New Roman"/>
          <w:color w:val="0078D4"/>
          <w:sz w:val="20"/>
        </w:rPr>
        <w:t xml:space="preserve"> </w:t>
      </w:r>
      <w:r>
        <w:rPr>
          <w:rFonts w:ascii="Arial" w:hAnsi="Arial"/>
          <w:color w:val="000000"/>
          <w:sz w:val="20"/>
        </w:rPr>
        <w:t>expense reimbursement amounts. We have not generated any revenue from the sale of approved products and do not expect to do so for the foreseeable future.</w:t>
      </w:r>
    </w:p>
    <w:p>
      <w:pPr>
        <w:pStyle w:val="TextBody"/>
        <w:bidi w:val="0"/>
        <w:spacing w:before="240" w:after="283"/>
        <w:jc w:val="both"/>
        <w:rPr>
          <w:rFonts w:ascii="Times New Roman" w:hAnsi="Times New Roman"/>
          <w:sz w:val="20"/>
        </w:rPr>
      </w:pPr>
      <w:r>
        <w:rPr>
          <w:rFonts w:ascii="Arial" w:hAnsi="Arial"/>
          <w:color w:val="222222"/>
          <w:sz w:val="20"/>
        </w:rPr>
        <w:t xml:space="preserve">In October 2025, we entered into the Otsuka Collaboration and License Agreement where we granted Otsuka exclusive rights to develop and commercialize 4D-150 for retinal vascular diseases, including wet AMD and DME, in the Otsuka Territory. Otsuka made an upfront cash payment of $85 million which we recognized as revenue during the fourth quarter of 2025, and </w:t>
      </w:r>
      <w:r>
        <w:rPr>
          <w:rFonts w:ascii="Arial" w:hAnsi="Arial"/>
          <w:color w:val="000000"/>
          <w:sz w:val="20"/>
        </w:rPr>
        <w:t xml:space="preserve">agreed to provide certain </w:t>
      </w:r>
      <w:r>
        <w:rPr>
          <w:rFonts w:ascii="Arial" w:hAnsi="Arial"/>
          <w:color w:val="222222"/>
          <w:sz w:val="20"/>
        </w:rPr>
        <w:t>cost sharing for global development activities.</w:t>
      </w:r>
    </w:p>
    <w:p>
      <w:pPr>
        <w:pStyle w:val="TextBody"/>
        <w:bidi w:val="0"/>
        <w:spacing w:before="240" w:after="283"/>
        <w:jc w:val="both"/>
        <w:rPr>
          <w:rFonts w:ascii="Arial" w:hAnsi="Arial"/>
          <w:color w:val="000000"/>
          <w:sz w:val="20"/>
        </w:rPr>
      </w:pPr>
      <w:r>
        <w:rPr>
          <w:rFonts w:ascii="Arial" w:hAnsi="Arial"/>
          <w:color w:val="000000"/>
          <w:sz w:val="20"/>
        </w:rPr>
        <w:t>Future collaboration and license revenue is highly dependent on the successful development and commercialization of products by our collaboration partners, which is uncertain, and revenue may fluctuate significantly from period to period. Additionally, we may never receive the consideration from our license agreements that is contemplated for option fees, development and sales-based milestone payments or royalties on sales of licensed products, given the contingent nature of these payments.</w:t>
      </w:r>
    </w:p>
    <w:p>
      <w:pPr>
        <w:pStyle w:val="TextBody"/>
        <w:bidi w:val="0"/>
        <w:spacing w:before="240" w:after="283"/>
        <w:jc w:val="both"/>
        <w:rPr>
          <w:rFonts w:ascii="Times New Roman" w:hAnsi="Times New Roman"/>
          <w:sz w:val="20"/>
        </w:rPr>
      </w:pPr>
      <w:r>
        <w:rPr>
          <w:rFonts w:ascii="Arial" w:hAnsi="Arial"/>
          <w:b/>
          <w:i/>
          <w:color w:val="000000"/>
          <w:sz w:val="20"/>
        </w:rPr>
        <w:t>Operating Expenses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i/>
          <w:color w:val="000000"/>
          <w:sz w:val="20"/>
        </w:rPr>
        <w:t>Research and Development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research and development expenses primarily consist of costs incurred for the discovery and preclinical and clinical development of our product candidates. These expenses include salaries and personnel-related costs, including stock-based compensation of our clinical, medical, chemistry, manufacturing and controls and scientific personnel performing research and development activities; laboratory supplies; research materials; fees paid to CROs to execute preclinical studies and clinical trials; fees paid to CDMOs to manufacture materials for preclinical studies and clinical trials; fees related to obtaining technology licenses; consulting costs; costs related to seeking regulatory approval of our product candidates; and allocated facility-related costs, information technology costs, depreciation expense, and other overhead.</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expense all research and development costs in the periods in which they are incurred. We have entered into various agreements with CROs and CDMOs. Costs of certain activities are recognized based on an evaluation of the progress to completion of specific tasks. Payments made prior to the receipt of goods or services that will be used or rendered for future research and development activities are deferred and capitalized as prepaid expenses and other current assets on our balance sheet. The capitalized amounts are recognized as expense as the goods are delivered or the related services are performed.</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We do not allocate our internal costs, such as salary and other personnel-related expenses, laboratory supplies and allocated overhead by product</w:t>
      </w:r>
      <w:r>
        <w:rPr>
          <w:rFonts w:ascii="Times New Roman" w:hAnsi="Times New Roman"/>
          <w:color w:val="D13438"/>
          <w:sz w:val="20"/>
        </w:rPr>
        <w:t xml:space="preserve"> </w:t>
      </w:r>
      <w:r>
        <w:rPr>
          <w:rFonts w:ascii="Arial" w:hAnsi="Arial"/>
          <w:color w:val="000000"/>
          <w:sz w:val="20"/>
        </w:rPr>
        <w:t>candidate. In particular, with respect to internal costs, several of our departments support multiple product candidate research and development programs and, therefore, the costs cannot be allocated to a particular product candidate or development program.</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At this time, we cannot reasonably estimate or know the nature, timing or estimated costs of the efforts that will be necessary to complete the development of, and obtain regulatory approval for, any of our product candidates. The process of conducting the necessary clinical development to obtain regulatory approval is costly and time-consuming, and the successful development of our product candidates is highly uncertain. See the section titled “Risk Factors” for additional risks regarding regulatory development and approval.</w:t>
      </w:r>
    </w:p>
    <w:p>
      <w:pPr>
        <w:pStyle w:val="TextBody"/>
        <w:bidi w:val="0"/>
        <w:spacing w:before="240" w:after="283"/>
        <w:jc w:val="both"/>
        <w:rPr>
          <w:rFonts w:ascii="Times New Roman" w:hAnsi="Times New Roman"/>
          <w:sz w:val="20"/>
        </w:rPr>
      </w:pPr>
      <w:r>
        <w:rPr>
          <w:rFonts w:ascii="Arial" w:hAnsi="Arial"/>
          <w:i/>
          <w:color w:val="000000"/>
          <w:sz w:val="20"/>
        </w:rPr>
        <w:t>General and Administrative</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Our general and administrative expenses consist primarily of personnel-related expenses, including salaries, employee benefit costs and stock-based compensation expense for our personnel in executive, finance and accounting, legal, human resources, business development, and other administrative functions. General and administrative expenses also include professional fees for legal, patent, consulting, accounting and tax services, allocated overhead, including rent, equipment, depreciation, information technology costs and utilities, and other general operating expenses not otherwise classified as research and development expenses.</w:t>
      </w:r>
    </w:p>
    <w:p>
      <w:pPr>
        <w:pStyle w:val="TextBody"/>
        <w:bidi w:val="0"/>
        <w:spacing w:before="240" w:after="283"/>
        <w:jc w:val="both"/>
        <w:rPr>
          <w:rFonts w:ascii="Times New Roman" w:hAnsi="Times New Roman"/>
          <w:sz w:val="20"/>
        </w:rPr>
      </w:pPr>
      <w:r>
        <w:rPr>
          <w:rFonts w:ascii="Arial" w:hAnsi="Arial"/>
          <w:b/>
          <w:i/>
          <w:color w:val="000000"/>
          <w:sz w:val="20"/>
        </w:rPr>
        <w:t>Other Income, Net</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Our other income, net primarily consists of interest income earned on our cash equivalents and marketable securities and adjustments for the change in the fair value of our derivative liability which must be remeasured at each reporting date.</w:t>
      </w:r>
    </w:p>
    <w:p>
      <w:pPr>
        <w:pStyle w:val="TextBody"/>
        <w:bidi w:val="0"/>
        <w:spacing w:before="240" w:after="283"/>
        <w:jc w:val="both"/>
        <w:rPr>
          <w:rFonts w:ascii="Arial" w:hAnsi="Arial"/>
          <w:b/>
          <w:color w:val="000000"/>
          <w:sz w:val="20"/>
        </w:rPr>
      </w:pPr>
      <w:r>
        <w:rPr>
          <w:rFonts w:ascii="Arial" w:hAnsi="Arial"/>
          <w:b/>
          <w:color w:val="000000"/>
          <w:sz w:val="20"/>
        </w:rPr>
        <w:t>Results of Operations</w:t>
      </w:r>
    </w:p>
    <w:p>
      <w:pPr>
        <w:pStyle w:val="TextBody"/>
        <w:bidi w:val="0"/>
        <w:spacing w:before="240" w:after="283"/>
        <w:jc w:val="both"/>
        <w:rPr>
          <w:rFonts w:ascii="Arial" w:hAnsi="Arial"/>
          <w:b/>
          <w:i/>
          <w:color w:val="000000"/>
          <w:sz w:val="20"/>
        </w:rPr>
      </w:pPr>
      <w:r>
        <w:rPr>
          <w:rFonts w:ascii="Arial" w:hAnsi="Arial"/>
          <w:b/>
          <w:i/>
          <w:color w:val="000000"/>
          <w:sz w:val="20"/>
        </w:rPr>
        <w:t>Comparison of the Three Months Ended March 31, 2026 and 2025</w:t>
      </w:r>
    </w:p>
    <w:p>
      <w:pPr>
        <w:pStyle w:val="TextBody"/>
        <w:bidi w:val="0"/>
        <w:spacing w:before="240" w:after="283"/>
        <w:jc w:val="both"/>
        <w:rPr>
          <w:rFonts w:ascii="Times New Roman" w:hAnsi="Times New Roman"/>
          <w:sz w:val="20"/>
        </w:rPr>
      </w:pPr>
      <w:r>
        <w:rPr>
          <w:rFonts w:ascii="Arial" w:hAnsi="Arial"/>
          <w:color w:val="000000"/>
          <w:sz w:val="20"/>
        </w:rPr>
        <w:t>The following tables summarize our results of operations for the periods indicated (dollars in thousands):</w:t>
      </w:r>
      <w:r>
        <w:rPr>
          <w:rFonts w:ascii="Times New Roman" w:hAnsi="Times New Roman"/>
          <w:color w:val="000000"/>
          <w:sz w:val="20"/>
        </w:rPr>
        <w:t xml:space="preserve"> </w:t>
      </w:r>
    </w:p>
    <w:p>
      <w:pPr>
        <w:pStyle w:val="TextBody"/>
        <w:bidi w:val="0"/>
        <w:jc w:val="both"/>
        <w:rPr/>
      </w:pPr>
      <w:r>
        <w:rPr/>
        <w:t> </w:t>
      </w:r>
    </w:p>
    <w:tbl>
      <w:tblPr>
        <w:tblW w:w="9472" w:type="dxa"/>
        <w:jc w:val="left"/>
        <w:tblInd w:w="0" w:type="dxa"/>
        <w:tblLayout w:type="fixed"/>
        <w:tblCellMar>
          <w:top w:w="28" w:type="dxa"/>
          <w:left w:w="28" w:type="dxa"/>
          <w:bottom w:w="28" w:type="dxa"/>
          <w:right w:w="28" w:type="dxa"/>
        </w:tblCellMar>
      </w:tblPr>
      <w:tblGrid>
        <w:gridCol w:w="3326"/>
        <w:gridCol w:w="146"/>
        <w:gridCol w:w="240"/>
        <w:gridCol w:w="856"/>
        <w:gridCol w:w="189"/>
        <w:gridCol w:w="166"/>
        <w:gridCol w:w="240"/>
        <w:gridCol w:w="856"/>
        <w:gridCol w:w="166"/>
        <w:gridCol w:w="146"/>
        <w:gridCol w:w="211"/>
        <w:gridCol w:w="751"/>
        <w:gridCol w:w="166"/>
        <w:gridCol w:w="146"/>
        <w:gridCol w:w="256"/>
        <w:gridCol w:w="660"/>
        <w:gridCol w:w="951"/>
      </w:tblGrid>
      <w:tr>
        <w:trPr/>
        <w:tc>
          <w:tcPr>
            <w:tcW w:w="3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3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3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Collaboration and license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3,047</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3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64,980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40,699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24,281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w:t>
            </w:r>
          </w:p>
        </w:tc>
        <w:tc>
          <w:tcPr>
            <w:tcW w:w="9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3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11,687</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9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332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76,667</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53,635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23,032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3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(73,620</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(53,621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(19,999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3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4,860</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3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(68,760</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(47,972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(20,788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w:t>
            </w:r>
          </w:p>
        </w:tc>
        <w:tc>
          <w:tcPr>
            <w:tcW w:w="9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pBdr>
          <w:bottom w:val="single" w:sz="8" w:space="1" w:color="000000"/>
        </w:pBdr>
        <w:bidi w:val="0"/>
        <w:jc w:val="left"/>
        <w:rPr/>
      </w:pPr>
      <w:r>
        <w:rPr/>
        <w:t> </w:t>
      </w:r>
    </w:p>
    <w:p>
      <w:pPr>
        <w:pStyle w:val="TextBody"/>
        <w:bidi w:val="0"/>
        <w:spacing w:before="40" w:after="283"/>
        <w:jc w:val="left"/>
        <w:rPr>
          <w:rFonts w:ascii="Arial" w:hAnsi="Arial"/>
          <w:color w:val="000000"/>
          <w:sz w:val="19"/>
        </w:rPr>
      </w:pPr>
      <w:r>
        <w:rPr>
          <w:rFonts w:ascii="Arial" w:hAnsi="Arial"/>
          <w:color w:val="000000"/>
          <w:sz w:val="19"/>
        </w:rPr>
        <w:t>* not meaningful</w:t>
      </w:r>
    </w:p>
    <w:p>
      <w:pPr>
        <w:pStyle w:val="TextBody"/>
        <w:bidi w:val="0"/>
        <w:spacing w:before="360" w:after="283"/>
        <w:jc w:val="both"/>
        <w:rPr>
          <w:rFonts w:ascii="Times New Roman" w:hAnsi="Times New Roman"/>
          <w:sz w:val="20"/>
        </w:rPr>
      </w:pPr>
      <w:r>
        <w:rPr>
          <w:rFonts w:ascii="Arial" w:hAnsi="Arial"/>
          <w:i/>
          <w:color w:val="000000"/>
          <w:sz w:val="20"/>
        </w:rPr>
        <w:t>Revenue</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Revenue increased by $3.0 million from the three months ended March 31, 2025 to the three months ended March 31, 2026. The increase in revenue was primarily due to the clinical trial cost sharing and reimbursement amounts from Otsuka.</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i/>
          <w:color w:val="000000"/>
          <w:sz w:val="20"/>
        </w:rPr>
        <w:t>Research and Development Expenses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following table provides a breakout of research and development expenses for the periods indicated (dollars in thousands):</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716"/>
        <w:gridCol w:w="146"/>
        <w:gridCol w:w="254"/>
        <w:gridCol w:w="835"/>
        <w:gridCol w:w="175"/>
        <w:gridCol w:w="175"/>
        <w:gridCol w:w="254"/>
        <w:gridCol w:w="835"/>
        <w:gridCol w:w="146"/>
        <w:gridCol w:w="146"/>
        <w:gridCol w:w="211"/>
        <w:gridCol w:w="691"/>
        <w:gridCol w:w="166"/>
        <w:gridCol w:w="146"/>
        <w:gridCol w:w="235"/>
        <w:gridCol w:w="681"/>
        <w:gridCol w:w="393"/>
      </w:tblGrid>
      <w:tr>
        <w:trPr/>
        <w:tc>
          <w:tcPr>
            <w:tcW w:w="4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4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 research and development expenses for 4D-150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42,682</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29,940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235</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7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 xml:space="preserve">Unallocated personnel costs (including </w:t>
              <w:b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14,530</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7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All other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7,768</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7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64,980</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40,699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24,281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240" w:after="283"/>
        <w:jc w:val="both"/>
        <w:rPr>
          <w:rFonts w:ascii="Arial" w:hAnsi="Arial"/>
          <w:color w:val="000000"/>
          <w:sz w:val="20"/>
        </w:rPr>
      </w:pPr>
      <w:r>
        <w:rPr>
          <w:rFonts w:ascii="Arial" w:hAnsi="Arial"/>
          <w:color w:val="000000"/>
          <w:sz w:val="20"/>
        </w:rPr>
        <w:t>Research and development expenses increased by $24.3 million, or 60%, from the three months ended March 31, 2025 to the three months ended March 31, 2026. The increase was primarily due to a $29.9 million increase in clinical trial activity for wet AMD.</w:t>
      </w:r>
    </w:p>
    <w:p>
      <w:pPr>
        <w:pStyle w:val="TextBody"/>
        <w:bidi w:val="0"/>
        <w:spacing w:before="240" w:after="283"/>
        <w:jc w:val="both"/>
        <w:rPr>
          <w:rFonts w:ascii="Times New Roman" w:hAnsi="Times New Roman"/>
          <w:sz w:val="20"/>
        </w:rPr>
      </w:pPr>
      <w:r>
        <w:rPr>
          <w:rFonts w:ascii="Arial" w:hAnsi="Arial"/>
          <w:i/>
          <w:color w:val="000000"/>
          <w:sz w:val="20"/>
        </w:rPr>
        <w:t>General and Administrative Expenses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 xml:space="preserve">General and administrative expenses decreased by $1.2 million, or 10%, from the three months ended March 31, 2025 to the three months ended March 31, 2026. The decrease was primarily due to decreased headcount of general and administrative personnel. </w:t>
      </w:r>
    </w:p>
    <w:p>
      <w:pPr>
        <w:pStyle w:val="TextBody"/>
        <w:bidi w:val="0"/>
        <w:jc w:val="both"/>
        <w:rPr>
          <w:rFonts w:ascii="Times New Roman" w:hAnsi="Times New Roman"/>
          <w:sz w:val="20"/>
        </w:rPr>
      </w:pPr>
      <w:r>
        <w:rPr>
          <w:rFonts w:ascii="Arial" w:hAnsi="Arial"/>
          <w:i/>
          <w:color w:val="000000"/>
          <w:sz w:val="20"/>
        </w:rPr>
        <w:t>Other Income, Net</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Other income, net, decreased by $0.8 million, or 14%, from the three months ended March 31, 2025 to the three months ended March 31, 2026. The decrease was primarily due to lower market yields on our cash equivalents and marketable securities.</w:t>
      </w:r>
    </w:p>
    <w:p>
      <w:pPr>
        <w:pStyle w:val="TextBody"/>
        <w:bidi w:val="0"/>
        <w:spacing w:before="240" w:after="283"/>
        <w:jc w:val="both"/>
        <w:rPr>
          <w:rFonts w:ascii="Times New Roman" w:hAnsi="Times New Roman"/>
          <w:sz w:val="20"/>
        </w:rPr>
      </w:pPr>
      <w:r>
        <w:rPr>
          <w:rFonts w:ascii="Arial" w:hAnsi="Arial"/>
          <w:b/>
          <w:color w:val="000000"/>
          <w:sz w:val="20"/>
        </w:rPr>
        <w:t>Liquidity and Capital Resources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Sources of Liquidity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As of March 31, 2026, we had cash, cash equivalents and marketable securities of $457.6 million. We have funded our operations primarily through the sale and issuance of our equity securities, including Follow-on Offerings and our “at-the-market” offering program, and to a lesser extent from cash received pursuant to our collaboration and license agreements. Our recent sources of liquidity include the following transactions:</w:t>
      </w:r>
      <w:r>
        <w:rPr>
          <w:rFonts w:ascii="Times New Roman" w:hAnsi="Times New Roman"/>
          <w:color w:val="000000"/>
          <w:sz w:val="20"/>
        </w:rPr>
        <w:t xml:space="preserve"> </w:t>
      </w:r>
    </w:p>
    <w:p>
      <w:pPr>
        <w:pStyle w:val="TextBody"/>
        <w:bidi w:val="0"/>
        <w:spacing w:before="240" w:after="283"/>
        <w:jc w:val="both"/>
        <w:rPr>
          <w:rFonts w:ascii="Arial" w:hAnsi="Arial"/>
          <w:i/>
          <w:color w:val="000000"/>
          <w:sz w:val="20"/>
          <w:u w:val="single"/>
        </w:rPr>
      </w:pPr>
      <w:r>
        <w:rPr>
          <w:rFonts w:ascii="Arial" w:hAnsi="Arial"/>
          <w:i/>
          <w:color w:val="000000"/>
          <w:sz w:val="20"/>
          <w:u w:val="single"/>
        </w:rPr>
        <w:t>Follow-on Offerings</w:t>
      </w:r>
    </w:p>
    <w:p>
      <w:pPr>
        <w:pStyle w:val="TextBody"/>
        <w:bidi w:val="0"/>
        <w:spacing w:before="240" w:after="283"/>
        <w:jc w:val="both"/>
        <w:rPr>
          <w:rFonts w:ascii="Times New Roman" w:hAnsi="Times New Roman"/>
          <w:sz w:val="20"/>
        </w:rPr>
      </w:pPr>
      <w:r>
        <w:rPr>
          <w:rFonts w:ascii="Arial" w:hAnsi="Arial"/>
          <w:color w:val="000000"/>
          <w:sz w:val="20"/>
        </w:rPr>
        <w:t>In November 2025, we completed an underwritten offering (the "2025 Offering") in which 8,385,809 shares of our common stock were sold at an offering price of $10.51 per share, as well as pre-funded warrants to purchase 1,128,949 shares of our common stock at an offering price of $10.5099 per underlying share. The net proceeds from the 2025 Offering were approximately $93.3 million, after deducting the underwriting discounts and commissions and other offering expenses.</w:t>
      </w:r>
      <w:r>
        <w:rPr>
          <w:rFonts w:ascii="Times New Roman" w:hAnsi="Times New Roman"/>
          <w:color w:val="000000"/>
          <w:sz w:val="20"/>
        </w:rPr>
        <w:t xml:space="preserve"> </w:t>
      </w:r>
    </w:p>
    <w:p>
      <w:pPr>
        <w:pStyle w:val="TextBody"/>
        <w:bidi w:val="0"/>
        <w:spacing w:before="240" w:after="283"/>
        <w:jc w:val="left"/>
        <w:rPr>
          <w:rFonts w:ascii="Arial" w:hAnsi="Arial"/>
          <w:i/>
          <w:color w:val="000000"/>
          <w:sz w:val="20"/>
          <w:u w:val="single"/>
        </w:rPr>
      </w:pPr>
      <w:r>
        <w:rPr>
          <w:rFonts w:ascii="Arial" w:hAnsi="Arial"/>
          <w:i/>
          <w:color w:val="000000"/>
          <w:sz w:val="20"/>
          <w:u w:val="single"/>
        </w:rPr>
        <w:t>At-the-Market Offering Program</w:t>
      </w:r>
    </w:p>
    <w:p>
      <w:pPr>
        <w:pStyle w:val="TextBody"/>
        <w:bidi w:val="0"/>
        <w:spacing w:before="240" w:after="283"/>
        <w:jc w:val="both"/>
        <w:rPr>
          <w:rFonts w:ascii="Times New Roman" w:hAnsi="Times New Roman"/>
          <w:sz w:val="20"/>
        </w:rPr>
      </w:pPr>
      <w:r>
        <w:rPr>
          <w:rFonts w:ascii="Arial" w:hAnsi="Arial"/>
          <w:color w:val="000000"/>
          <w:sz w:val="20"/>
        </w:rPr>
        <w:t>In June 2024, we entered into a Sales Agreement (the “Leerink Sales Agreement”) with Leerink Partners LLC (“Leerink”) as sales agent to sell shares of our common stock, from time to time, with aggregate gross sales proceeds of up to $250.0 million pursuant to a Registration Statement on Form S-3</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that we filed with the SEC in February 2024 as an “at-the-market” offering under the Securities Act. For the year ended December 31, 2025, 1,175,000 shares of the Company's common stock were sold pursuant to the Leerink Sales Agreement for net proceeds to the Company of $9.6 million, after deducting issuance costs. For the three months ended March 31, 2026, 1,012,145 shares were sold pursuant to the Leerink Sales Agreement for net proceeds to the Company of $9.7 million, after deducting issuance costs.</w:t>
      </w:r>
    </w:p>
    <w:p>
      <w:pPr>
        <w:pStyle w:val="TextBody"/>
        <w:bidi w:val="0"/>
        <w:spacing w:before="240" w:after="283"/>
        <w:jc w:val="both"/>
        <w:rPr>
          <w:rFonts w:ascii="Arial" w:hAnsi="Arial"/>
          <w:i/>
          <w:color w:val="000000"/>
          <w:sz w:val="20"/>
          <w:u w:val="single"/>
        </w:rPr>
      </w:pPr>
      <w:r>
        <w:rPr>
          <w:rFonts w:ascii="Arial" w:hAnsi="Arial"/>
          <w:i/>
          <w:color w:val="000000"/>
          <w:sz w:val="20"/>
          <w:u w:val="single"/>
        </w:rPr>
        <w:t>Collaboration and License Agreements</w:t>
      </w:r>
    </w:p>
    <w:p>
      <w:pPr>
        <w:pStyle w:val="TextBody"/>
        <w:bidi w:val="0"/>
        <w:spacing w:before="240" w:after="283"/>
        <w:jc w:val="both"/>
        <w:rPr>
          <w:rFonts w:ascii="Times New Roman" w:hAnsi="Times New Roman"/>
          <w:sz w:val="20"/>
        </w:rPr>
      </w:pPr>
      <w:r>
        <w:rPr>
          <w:rFonts w:ascii="Arial" w:hAnsi="Arial"/>
          <w:color w:val="000000"/>
          <w:sz w:val="20"/>
        </w:rPr>
        <w:t xml:space="preserve">In October 2025, we entered into a Collaboration and License Agreement with Otsuka where we granted Otsuka exclusive rights to develop and commercialize 4D-150 for retinal vascular diseases, including wet AMD and DME, in the Otsuka Territory. Otsuka made an upfront cash payment of $85 million </w:t>
      </w:r>
      <w:r>
        <w:rPr>
          <w:rFonts w:ascii="Arial" w:hAnsi="Arial"/>
          <w:color w:val="222222"/>
          <w:sz w:val="20"/>
        </w:rPr>
        <w:t xml:space="preserve">which we recognized as revenue during the fourth quarter of 2025, </w:t>
      </w:r>
      <w:r>
        <w:rPr>
          <w:rFonts w:ascii="Arial" w:hAnsi="Arial"/>
          <w:color w:val="000000"/>
          <w:sz w:val="20"/>
        </w:rPr>
        <w:t>and agreed to provide certain cost sharing for global development activities.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Future Funding Requirements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have experienced recurring net losses and had an accumulated deficit of $785.1 million as of March 31, 2026. Our transition to profitability is dependent upon the successful development, approval and commercialization of our product candidates and those of our collaboration partners and achieving a level of revenue adequate to support our cost structure. We expect to continue to incur losses for the foreseeable future.</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expect that our overall research and development and general and administrative expenses will increase. As a result, we will need significant additional capital to fund our operations, which we may obtain through one or more equity offerings, debt financings or other third-party funding, the Otsuka Collaboration and License Agreement, and additional potential strategic alliances and licensing or collaboration arrangements.</w:t>
      </w:r>
    </w:p>
    <w:p>
      <w:pPr>
        <w:pStyle w:val="TextBody"/>
        <w:bidi w:val="0"/>
        <w:spacing w:before="240" w:after="283"/>
        <w:jc w:val="both"/>
        <w:rPr>
          <w:rFonts w:ascii="Times New Roman" w:hAnsi="Times New Roman"/>
          <w:sz w:val="20"/>
        </w:rPr>
      </w:pPr>
      <w:r>
        <w:rPr>
          <w:rFonts w:ascii="Arial" w:hAnsi="Arial"/>
          <w:color w:val="000000"/>
          <w:sz w:val="20"/>
        </w:rPr>
        <w:t>Because of the numerous risks and uncertainties associated with the development and commercialization of gene therapy product candidates, we are unable to estimate the amount of increased capital we will need to raise to support our operations and the outlays and operating expenditures necessary to complete the development of our product candidates and build additional manufacturing capacity, and we may use our available capital resources sooner than we currently expect.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future capital requirements will depend on many factors, including:</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progress of our current and future product candidates through preclinical and clinical development;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potential delays in our preclinical studies and clinical trials, whether current or planned;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working with our contract manufacturers to scale up the manufacturing processes for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continuing our research and discovery activities;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continuing the development of our Therapeutic Vector Evolution platform;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initiating and conducting additional preclinical, clinical or other studies for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changing or adding additional contract manufacturers or suppliers;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seeking regulatory approvals and marketing authorizations for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establishing sales, marketing and distribution infrastructure to commercialize any products for which we obtain approval;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acquiring or in-licensing product candidates, intellectual property and technologies;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making milestone, royalty or other payments due under any current or future collaboration or license agreements;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receiving milestone, royalty or other payments under any current or future collaboration or license agreements;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obtaining, maintaining, expanding, protecting and enforcing our intellectual property portfolio;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attracting, hiring and retaining qualified personnel;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potential delays or other issues related to our operations;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meeting the requirements and demands of being a public company;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defending against any product liability claims or other lawsuits related to our products; and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lingering impact of the COVID-19 pandemic and adverse macroeconomic conditions such as, but not limited to, higher inflation and increased interest rates, each of which may exacerbate the magnitude of the factors discussed above. </w:t>
      </w:r>
    </w:p>
    <w:p>
      <w:pPr>
        <w:pStyle w:val="TextBody"/>
        <w:bidi w:val="0"/>
        <w:spacing w:before="240" w:after="283"/>
        <w:jc w:val="both"/>
        <w:rPr>
          <w:rFonts w:ascii="Times New Roman" w:hAnsi="Times New Roman"/>
          <w:sz w:val="20"/>
        </w:rPr>
      </w:pPr>
      <w:r>
        <w:rPr>
          <w:rFonts w:ascii="Arial" w:hAnsi="Arial"/>
          <w:color w:val="000000"/>
          <w:sz w:val="20"/>
        </w:rPr>
        <w:t>We believe that our existing cash, cash equivalents and marketable securities will allow us to fund our planned operations for at least one year from the date of the issuance of the condensed financial statements included in this report.</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have based our estimates as to how long we expect we will be able to fund our operations on assumptions that may prove to be wrong, and we could use our available capital resources sooner than we currently expect, in which case we would be required to obtain additional financing sooner than currently projected, which may not be available to us on acceptable terms, or at all. Our failure to raise capital as and when needed would have a negative impact on our financial condition and our ability to pursue our business strategy. See the section titled “Risk Factors” for additional risks associated with our substantial capital requirements.</w:t>
      </w:r>
    </w:p>
    <w:p>
      <w:pPr>
        <w:pStyle w:val="TextBody"/>
        <w:bidi w:val="0"/>
        <w:spacing w:before="240" w:after="283"/>
        <w:jc w:val="both"/>
        <w:rPr>
          <w:rFonts w:ascii="Arial" w:hAnsi="Arial"/>
          <w:color w:val="000000"/>
          <w:sz w:val="20"/>
        </w:rPr>
      </w:pPr>
      <w:r>
        <w:rPr>
          <w:rFonts w:ascii="Arial" w:hAnsi="Arial"/>
          <w:color w:val="000000"/>
          <w:sz w:val="20"/>
        </w:rPr>
        <w:t>We have limited committed external sources of funds. Accordingly, we will be required to obtain further funding through public or private equity offerings, debt financings, collaborations and licensing arrangements or other sources to complete the clinical development for the product candidates for treatment of wet AMD, DME, geographic atrophy, cystic fibrosis lung disease, alpha-1 antitrypsin deficiency lung disease or any other indication we may pursue. If we raise additional funds by issuing equity securities, our stockholders may experience dilution. Any future debt financing into which we enter would result in fixed payment obligations and may involve agreements that include grants of security interests on our assets and restrictive covenants that limit our ability to take specific actions, such as incurring additional debt, making capital expenditures, granting liens over our assets, redeeming stock or declaring dividends, that could adversely impact our ability to conduct our business. Any debt financing or additional equity that we raise may contain terms that could adversely affect our common stockholders. Further, additional funds may not be available when we need them, on terms that are acceptable to us, or at all. Our ability to raise additional capital may be adversely impacted by potential worsening global economic conditions and the recent disruptions to and volatility in the credit and financial markets in the United States and worldwide resulting from the war in Ukraine, conflicts in the Middle East, any expansion of these conflicts, rising interest rates and inflation, natural disasters and pandemics.</w:t>
      </w:r>
    </w:p>
    <w:p>
      <w:pPr>
        <w:pStyle w:val="TextBody"/>
        <w:bidi w:val="0"/>
        <w:spacing w:before="240" w:after="283"/>
        <w:jc w:val="both"/>
        <w:rPr>
          <w:rFonts w:ascii="Times New Roman" w:hAnsi="Times New Roman"/>
          <w:sz w:val="20"/>
        </w:rPr>
      </w:pPr>
      <w:r>
        <w:rPr>
          <w:rFonts w:ascii="Arial" w:hAnsi="Arial"/>
          <w:color w:val="000000"/>
          <w:sz w:val="20"/>
        </w:rPr>
        <w:t>If we are unable to obtain additional funding, we expect to delay, reduce or eliminate some or all of our research and development programs, product portfolio expansion or investment in manufacturing capabilities, which could adversely affect our business. If we raise additional funds through collaborations or marketing, distribution or licensing arrangements with third parties, we may have to relinquish valuable rights to future revenue streams or product candidates or grant licenses on terms that may not be favorable to us.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Summary Statement of Cash Flows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following is a summary of cash flows for the periods indicated below (in thousands):</w:t>
      </w:r>
      <w:r>
        <w:rPr>
          <w:rFonts w:ascii="Times New Roman" w:hAnsi="Times New Roman"/>
          <w:color w:val="000000"/>
          <w:sz w:val="20"/>
        </w:rPr>
        <w:t xml:space="preserve"> </w:t>
      </w:r>
    </w:p>
    <w:p>
      <w:pPr>
        <w:pStyle w:val="TextBody"/>
        <w:bidi w:val="0"/>
        <w:jc w:val="both"/>
        <w:rPr/>
      </w:pPr>
      <w:r>
        <w:rPr/>
        <w:t> </w:t>
      </w:r>
    </w:p>
    <w:tbl>
      <w:tblPr>
        <w:tblW w:w="7690" w:type="dxa"/>
        <w:jc w:val="left"/>
        <w:tblInd w:w="0" w:type="dxa"/>
        <w:tblLayout w:type="fixed"/>
        <w:tblCellMar>
          <w:top w:w="28" w:type="dxa"/>
          <w:left w:w="28" w:type="dxa"/>
          <w:bottom w:w="28" w:type="dxa"/>
          <w:right w:w="28" w:type="dxa"/>
        </w:tblCellMar>
      </w:tblPr>
      <w:tblGrid>
        <w:gridCol w:w="4786"/>
        <w:gridCol w:w="146"/>
        <w:gridCol w:w="240"/>
        <w:gridCol w:w="856"/>
        <w:gridCol w:w="189"/>
        <w:gridCol w:w="166"/>
        <w:gridCol w:w="240"/>
        <w:gridCol w:w="856"/>
        <w:gridCol w:w="211"/>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(68,125</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(47,758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68,888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31,948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11,484</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increase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12,247</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(15,810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240" w:after="283"/>
        <w:jc w:val="both"/>
        <w:rPr>
          <w:rFonts w:ascii="Times New Roman" w:hAnsi="Times New Roman"/>
          <w:sz w:val="20"/>
        </w:rPr>
      </w:pPr>
      <w:r>
        <w:rPr>
          <w:rFonts w:ascii="Arial" w:hAnsi="Arial"/>
          <w:b/>
          <w:i/>
          <w:color w:val="000000"/>
          <w:sz w:val="20"/>
        </w:rPr>
        <w:t>Net Cash Used in Operating Activities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Net cash used in operating activities was $68.1 million for the three months ended March 31, 2026. This was primarily due to the net loss of $68.8 million, adjusted for noncash charges of $5.4 million and net changes in operating assets and liabilities of $4.7 million. Noncash charges included $4.5 million of stock-based compensation expense, $1.3 million of depreciation and amortization and $0.8 million for the amortization of operating lease right-of-use assets, offset by $1.1 million net accretion of discount on marketable securities. Net changes in operating assets and liabilities included decreases of $4.1 million in accrued and other liabilities and $0.9 million in operating lease liabilities and increases of $4.0 million in prepaid expenses and other current assets and $0.7 million in other assets, offset by increases of $3.5 million in accounts payable and $1.4 million in deferred revenue.</w:t>
      </w:r>
    </w:p>
    <w:p>
      <w:pPr>
        <w:pStyle w:val="TextBody"/>
        <w:bidi w:val="0"/>
        <w:spacing w:before="240" w:after="283"/>
        <w:jc w:val="both"/>
        <w:rPr>
          <w:rFonts w:ascii="Arial" w:hAnsi="Arial"/>
          <w:color w:val="000000"/>
          <w:sz w:val="20"/>
        </w:rPr>
      </w:pPr>
      <w:r>
        <w:rPr>
          <w:rFonts w:ascii="Arial" w:hAnsi="Arial"/>
          <w:color w:val="000000"/>
          <w:sz w:val="20"/>
        </w:rPr>
        <w:t>Net cash used in operating activities was $47.8 million for the three months ended March 31, 2025. This was primarily due to the net loss of $48.0 million, adjusted for noncash charges of $7.4 million and net changes in operating assets and liabilities of $7.2 million. Noncash charges included $7.0 million of stock-based compensation expense, $1.1 million of depreciation and amortization and $0.7 million for the amortization of operating lease right-of-use assets, offset by $1.3 million net accretion of discount on marketable securities and $0.1 million change in fair value of derivative liability. Net changes in operating assets and liabilities included decreases of $0.8 million in operating lease liabilities, $2.3 million in accrued and other liabilities and $0.2 million in accounts payable, and increases of $2.8 million in other assets and $1.1 million in prepaid expenses and other current assets.</w:t>
      </w:r>
    </w:p>
    <w:p>
      <w:pPr>
        <w:pStyle w:val="TextBody"/>
        <w:bidi w:val="0"/>
        <w:spacing w:before="240" w:after="283"/>
        <w:jc w:val="both"/>
        <w:rPr>
          <w:rFonts w:ascii="Times New Roman" w:hAnsi="Times New Roman"/>
          <w:sz w:val="20"/>
        </w:rPr>
      </w:pPr>
      <w:r>
        <w:rPr>
          <w:rFonts w:ascii="Arial" w:hAnsi="Arial"/>
          <w:b/>
          <w:i/>
          <w:color w:val="000000"/>
          <w:sz w:val="20"/>
        </w:rPr>
        <w:t>Net Cash Provided by Investing Activities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Net cash provided by investing activities was $68.9 million for the three months ended March 31, 2026. This was due to $102.4 million in maturities of marketable securities, offset by purchases of marketable securities of $33.5 million.</w:t>
      </w:r>
    </w:p>
    <w:p>
      <w:pPr>
        <w:pStyle w:val="TextBody"/>
        <w:bidi w:val="0"/>
        <w:spacing w:before="240" w:after="283"/>
        <w:jc w:val="both"/>
        <w:rPr>
          <w:rFonts w:ascii="Arial" w:hAnsi="Arial"/>
          <w:color w:val="000000"/>
          <w:sz w:val="20"/>
        </w:rPr>
      </w:pPr>
      <w:r>
        <w:rPr>
          <w:rFonts w:ascii="Arial" w:hAnsi="Arial"/>
          <w:color w:val="000000"/>
          <w:sz w:val="20"/>
        </w:rPr>
        <w:t>Net cash provided by investing activities was $31.9 million for the three months ended March 31, 2025. This was due to $166.7 million in maturities of marketable securities, offset by purchases of marketable securities of $134.1 million and purchases of property and equipment of $0.6 million.</w:t>
      </w:r>
    </w:p>
    <w:p>
      <w:pPr>
        <w:pStyle w:val="TextBody"/>
        <w:bidi w:val="0"/>
        <w:spacing w:before="240" w:after="283"/>
        <w:jc w:val="both"/>
        <w:rPr>
          <w:rFonts w:ascii="Times New Roman" w:hAnsi="Times New Roman"/>
          <w:sz w:val="20"/>
        </w:rPr>
      </w:pPr>
      <w:r>
        <w:rPr>
          <w:rFonts w:ascii="Arial" w:hAnsi="Arial"/>
          <w:b/>
          <w:i/>
          <w:color w:val="000000"/>
          <w:sz w:val="20"/>
        </w:rPr>
        <w:t>Net Cash Provided by Financing Activities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Net cash provided by financing activities was $11.5 million for the three months ended March 31, 2026 which was due to proceeds from the issuance of common stock pursuant to the Leerink Sales Agreement of $9.8 million and proceeds from the issuance of common stock from the exercise of stock options and warrants of $1.7 million.</w:t>
      </w:r>
    </w:p>
    <w:p>
      <w:pPr>
        <w:pStyle w:val="TextBody"/>
        <w:bidi w:val="0"/>
        <w:spacing w:before="240" w:after="283"/>
        <w:jc w:val="both"/>
        <w:rPr>
          <w:rFonts w:ascii="Times New Roman" w:hAnsi="Times New Roman"/>
          <w:sz w:val="20"/>
        </w:rPr>
      </w:pPr>
      <w:r>
        <w:rPr>
          <w:rFonts w:ascii="Arial" w:hAnsi="Arial"/>
          <w:color w:val="000000"/>
          <w:sz w:val="20"/>
        </w:rPr>
        <w:t>There was no net cash provided by financing activities for the three months ended March 31, 2025.</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color w:val="000000"/>
          <w:sz w:val="20"/>
        </w:rPr>
        <w:t>Contractual Obligations, Commitments and Contingencies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enter into various agreements in the ordinary course of business, such as those with suppliers,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CROs, CDMOs and clinical trial sites. These contracts generally provide for termination on notice or may have a potential termination fee if a purchase order is canceled within a specified time. The total value of non-cancellable obligations under contracts was $7.0 million and $4.0 million as of March 31, 2026 and December 31, 2025, respectively. This presentation of non-cancellable purchase obligations does not include any estimates of potential reduction of such liabilities related to mitigation obligations of the counter-parties in the event of cancellation under the terms of our engagements.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As of March 31, 2026, our principal commitments consisted of obligations under our operating lease for our headquarters. Please see Note 8, Commitments and Contingencies, to our condensed financial statements included elsewhere in this report.</w:t>
      </w:r>
    </w:p>
    <w:p>
      <w:pPr>
        <w:pStyle w:val="TextBody"/>
        <w:bidi w:val="0"/>
        <w:spacing w:before="240" w:after="283"/>
        <w:jc w:val="both"/>
        <w:rPr>
          <w:rFonts w:ascii="Times New Roman" w:hAnsi="Times New Roman"/>
          <w:sz w:val="20"/>
        </w:rPr>
      </w:pPr>
      <w:r>
        <w:rPr>
          <w:rFonts w:ascii="Arial" w:hAnsi="Arial"/>
          <w:b/>
          <w:color w:val="000000"/>
          <w:sz w:val="20"/>
        </w:rPr>
        <w:t>Critical Accounting Policies and Significant Judgments and Estimates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condensed financial statements have been prepared in accordance with generally accepted accounting principles in the United States. The preparation of our condensed financial statements requires us to make estimates and assumptions that affect the reported amounts of assets and liabilities and the disclosure of contingent assets and liabilities at the date of our condensed financial statements, as well as the reported revenue and expenses during the reported periods. We evaluate these estimates and assumptions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During the three months ended March 31, 2026, there were no changes to our critical accounting policies and significant judgments and estimates as disclosed in our Annual Report on Form 10-K for the year ended December 31, 2025.</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color w:val="000000"/>
          <w:sz w:val="20"/>
        </w:rPr>
        <w:t>Recent Accounting Pronouncements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See Note 2, Summary of Significant Accounting Policies, to our condensed financial statements included elsewhere in this report for information.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color w:val="000000"/>
          <w:sz w:val="20"/>
        </w:rPr>
        <w:t>Off-Balance Sheet Arrangements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Since our inception, we have not engaged in any off-balance sheet arrangements as defined in the rules and regulations of the SEC.</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bookmarkStart w:id="11" w:name="market_risk_disclosures"/>
      <w:bookmarkEnd w:id="11"/>
      <w:r>
        <w:rPr>
          <w:rFonts w:ascii="Arial" w:hAnsi="Arial"/>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Interest Rate Sensitivity and Effects of Inflation</w:t>
      </w:r>
    </w:p>
    <w:p>
      <w:pPr>
        <w:pStyle w:val="TextBody"/>
        <w:bidi w:val="0"/>
        <w:spacing w:before="240" w:after="283"/>
        <w:jc w:val="both"/>
        <w:rPr>
          <w:rFonts w:ascii="Arial" w:hAnsi="Arial"/>
          <w:color w:val="000000"/>
          <w:sz w:val="20"/>
        </w:rPr>
      </w:pPr>
      <w:r>
        <w:rPr>
          <w:rFonts w:ascii="Arial" w:hAnsi="Arial"/>
          <w:color w:val="000000"/>
          <w:sz w:val="20"/>
        </w:rPr>
        <w:t>The market risk inherent in our financial instruments and in our financial position represents the potential loss arising from adverse changes in interest rates. As of March 31, 2026, we had cash, cash equivalents and marketable securities of $457.6 million, consisting of bank deposits, interest-bearing money market funds, and marketable securities, for which the fair value would be affected by changes in the general level of U.S. interest rates. However, due to the short to medium-term maturities of our cash equivalents and marketable securities, an immediate 10% change in interest rates would not have a material effect on the fair value of our cash equivalents or marketable securities.</w:t>
      </w:r>
    </w:p>
    <w:p>
      <w:pPr>
        <w:pStyle w:val="TextBody"/>
        <w:bidi w:val="0"/>
        <w:spacing w:before="240" w:after="283"/>
        <w:jc w:val="both"/>
        <w:rPr>
          <w:rFonts w:ascii="Arial" w:hAnsi="Arial"/>
          <w:color w:val="000000"/>
          <w:sz w:val="20"/>
        </w:rPr>
      </w:pPr>
      <w:r>
        <w:rPr>
          <w:rFonts w:ascii="Arial" w:hAnsi="Arial"/>
          <w:color w:val="000000"/>
          <w:sz w:val="20"/>
        </w:rPr>
        <w:t>We do not believe that inflation or interest rate changes have had a significant impact on our results of operations for any periods presented herein.</w:t>
      </w:r>
    </w:p>
    <w:p>
      <w:pPr>
        <w:pStyle w:val="TextBody"/>
        <w:bidi w:val="0"/>
        <w:spacing w:before="240" w:after="283"/>
        <w:jc w:val="both"/>
        <w:rPr>
          <w:rFonts w:ascii="Times New Roman" w:hAnsi="Times New Roman"/>
          <w:sz w:val="20"/>
        </w:rPr>
      </w:pPr>
      <w:bookmarkStart w:id="12" w:name="controls_and_procedures"/>
      <w:bookmarkEnd w:id="12"/>
      <w:r>
        <w:rPr>
          <w:rFonts w:ascii="Arial" w:hAnsi="Arial"/>
          <w:b/>
          <w:color w:val="000000"/>
          <w:sz w:val="20"/>
        </w:rPr>
        <w:t>Item 4. Controls and Procedures.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color w:val="000000"/>
          <w:sz w:val="20"/>
        </w:rPr>
      </w:pPr>
      <w:r>
        <w:rPr>
          <w:rFonts w:ascii="Arial" w:hAnsi="Arial"/>
          <w:b/>
          <w:color w:val="000000"/>
          <w:sz w:val="20"/>
        </w:rPr>
        <w:t>Evaluation of our Disclosure Controls and Procedures</w:t>
      </w:r>
    </w:p>
    <w:p>
      <w:pPr>
        <w:pStyle w:val="TextBody"/>
        <w:bidi w:val="0"/>
        <w:spacing w:before="240" w:after="283"/>
        <w:jc w:val="both"/>
        <w:rPr>
          <w:rFonts w:ascii="Arial" w:hAnsi="Arial"/>
          <w:color w:val="000000"/>
          <w:sz w:val="20"/>
        </w:rPr>
      </w:pPr>
      <w:r>
        <w:rPr>
          <w:rFonts w:ascii="Arial" w:hAnsi="Arial"/>
          <w:color w:val="000000"/>
          <w:sz w:val="20"/>
        </w:rPr>
        <w:t>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and accounting officers,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pStyle w:val="TextBody"/>
        <w:bidi w:val="0"/>
        <w:spacing w:before="240" w:after="283"/>
        <w:jc w:val="both"/>
        <w:rPr>
          <w:rFonts w:ascii="Arial" w:hAnsi="Arial"/>
          <w:color w:val="000000"/>
          <w:sz w:val="20"/>
        </w:rPr>
      </w:pPr>
      <w:r>
        <w:rPr>
          <w:rFonts w:ascii="Arial" w:hAnsi="Arial"/>
          <w:color w:val="000000"/>
          <w:sz w:val="20"/>
        </w:rPr>
        <w:t>Our management, with the participation of our principal executive officer and principal financial and accounting officer, evaluated the effectiveness of our disclosure controls and procedures at the end of the period covered by this report. Based upon such evaluation, our principal executive officer and principal financial and accounting officer have concluded that our disclosure controls and procedures were effective at the reasonable assurance level as of such date.</w:t>
      </w:r>
    </w:p>
    <w:p>
      <w:pPr>
        <w:pStyle w:val="TextBody"/>
        <w:bidi w:val="0"/>
        <w:spacing w:before="240" w:after="283"/>
        <w:jc w:val="both"/>
        <w:rPr>
          <w:rFonts w:ascii="Arial" w:hAnsi="Arial"/>
          <w:i/>
          <w:color w:val="000000"/>
          <w:sz w:val="20"/>
        </w:rPr>
      </w:pPr>
      <w:r>
        <w:rPr>
          <w:rFonts w:ascii="Arial" w:hAnsi="Arial"/>
          <w:i/>
          <w:color w:val="000000"/>
          <w:sz w:val="20"/>
        </w:rPr>
        <w:t>Changes in Internal Control over Financial Reporting</w:t>
      </w:r>
    </w:p>
    <w:p>
      <w:pPr>
        <w:pStyle w:val="TextBody"/>
        <w:bidi w:val="0"/>
        <w:spacing w:before="240" w:after="283"/>
        <w:jc w:val="both"/>
        <w:rPr>
          <w:rFonts w:ascii="Arial" w:hAnsi="Arial"/>
          <w:color w:val="000000"/>
          <w:sz w:val="20"/>
        </w:rPr>
      </w:pPr>
      <w:r>
        <w:rPr>
          <w:rFonts w:ascii="Arial" w:hAnsi="Arial"/>
          <w:color w:val="000000"/>
          <w:sz w:val="20"/>
        </w:rPr>
        <w:t>There has been no change in our internal control over financial reporting during the quarter ended March 31, 2026, that has materially affected, or is reasonably likely to materially affect, our internal control over financial reporting.</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13" w:name="part_ii_other_information"/>
      <w:bookmarkEnd w:id="13"/>
      <w:r>
        <w:rPr>
          <w:rFonts w:ascii="Arial" w:hAnsi="Arial"/>
          <w:b/>
          <w:color w:val="000000"/>
          <w:sz w:val="20"/>
        </w:rPr>
        <w:t>PART II. OTHER INFORMATION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bookmarkStart w:id="14" w:name="legal_proceedings"/>
      <w:bookmarkEnd w:id="14"/>
      <w:r>
        <w:rPr>
          <w:rFonts w:ascii="Arial" w:hAnsi="Arial"/>
          <w:b/>
          <w:color w:val="000000"/>
          <w:sz w:val="20"/>
        </w:rPr>
        <w:t>Item 1. Legal Proceedings.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legal proceedings information set forth in Note 8, Commitments and Contingencies,</w:t>
      </w:r>
      <w:r>
        <w:rPr>
          <w:rFonts w:ascii="Times New Roman" w:hAnsi="Times New Roman"/>
          <w:color w:val="000000"/>
          <w:sz w:val="20"/>
        </w:rPr>
        <w:t xml:space="preserve"> </w:t>
      </w:r>
      <w:r>
        <w:rPr>
          <w:rFonts w:ascii="Arial" w:hAnsi="Arial"/>
          <w:color w:val="000000"/>
          <w:sz w:val="20"/>
        </w:rPr>
        <w:t>of the notes to our condensed financial statements in Part I, Item 1 of this report is incorporated by reference.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bookmarkStart w:id="15" w:name="risk_factors"/>
      <w:bookmarkEnd w:id="15"/>
      <w:r>
        <w:rPr>
          <w:rFonts w:ascii="Arial" w:hAnsi="Arial"/>
          <w:b/>
          <w:color w:val="000000"/>
          <w:sz w:val="20"/>
        </w:rPr>
        <w:t>Item 1A. Risk Factors.</w:t>
      </w:r>
      <w:r>
        <w:rPr>
          <w:rFonts w:ascii="Times New Roman" w:hAnsi="Times New Roman"/>
          <w:color w:val="000000"/>
          <w:sz w:val="20"/>
        </w:rPr>
        <w:t xml:space="preserve"> </w:t>
      </w:r>
    </w:p>
    <w:p>
      <w:pPr>
        <w:pStyle w:val="TextBody"/>
        <w:bidi w:val="0"/>
        <w:spacing w:before="240" w:after="283"/>
        <w:jc w:val="both"/>
        <w:rPr>
          <w:rFonts w:ascii="Arial" w:hAnsi="Arial"/>
          <w:i/>
          <w:color w:val="000000"/>
          <w:sz w:val="20"/>
        </w:rPr>
      </w:pPr>
      <w:r>
        <w:rPr>
          <w:rFonts w:ascii="Arial" w:hAnsi="Arial"/>
          <w:i/>
          <w:color w:val="000000"/>
          <w:sz w:val="20"/>
        </w:rPr>
        <w:t>Investing in our common stock involves a high degree of risk. You should carefully consider the risks described below, as well as the other information in this report, including our condensed financial statements and the related notes and the section of this report “Management’s Discussion and Analysis of Financial Condition and Results of Operations,” before deciding whether to invest in our common stock. If any of the following risks actually occur, our business, reputation, financial condition, results of operations, revenue and future prospects could be seriously harmed. The risks and uncertainties described below are not the only ones we face. Additional risks and uncertainties that we are unaware of, or that we currently believe are not material, may also become important factors that adversely affect our business. Unless otherwise indicated, references to our business being seriously harmed in these risk factors and elsewhere will include harm to our business, reputation, financial condition, results of operations, future prospects and stock price. If our business is seriously harmed, the market price of our common stock could decline, and you could lose part or all of your investment.</w:t>
      </w:r>
    </w:p>
    <w:p>
      <w:pPr>
        <w:pStyle w:val="TextBody"/>
        <w:bidi w:val="0"/>
        <w:spacing w:before="240" w:after="283"/>
        <w:jc w:val="both"/>
        <w:rPr>
          <w:rFonts w:ascii="Times New Roman" w:hAnsi="Times New Roman"/>
          <w:sz w:val="20"/>
        </w:rPr>
      </w:pPr>
      <w:r>
        <w:rPr>
          <w:rFonts w:ascii="Arial" w:hAnsi="Arial"/>
          <w:b/>
          <w:color w:val="000000"/>
          <w:sz w:val="20"/>
        </w:rPr>
        <w:t>Risks Related to Our Limited Operating History, Financial Condition and Capital Requirements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are in the late stages of drug development for our lead program and have a limited operating history and no products approved for commercial sale, which may make it difficult to evaluate our current business and predict our future success and viability.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are a leading late-stage biotechnology company advancing durable and disease-targeted therapeutics with the potential to transform treatment paradigms and provide unprecedented benefits to patients. We commenced operations in September 2013, have no products approved for commercial sale and have not generated any product revenue. Drug development is a highly uncertain undertaking and involves a substantial degree of risk. If our product candidates are not successfully developed and approved, we may never generate any product revenue. To date, we have not completed any clinical trials (including any pivotal clinical trial), obtained marketing approval for any product candidates, manufactured commercial scale quantities of any of our product candidates or arranged for a third party to do so on our behalf, or conducted sales and marketing activities necessary for successful product commercialization. Our limited operating history as a company and stage of drug development make any assessment of our future success and viability subject to significant uncertainty. We will encounter risks and difficulties frequently experienced by biopharmaceutical companies in rapidly evolving fields, and we have not yet demonstrated an ability to successfully overcome such risks and difficulties. If we do not address these risks and difficulties successfully, our business will be seriously harmed.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have had recurring net losses, and we expect to continue to incur significant net losses for the foreseeable future.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have incurred recurring net losses, including net losses of $68.8 million and $48.0 million for the three months ended March 31, 2026 and 2025, respectively. As of March 31, 2026, we had an accumulated deficit of $785.1 million.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have devoted substantially all of our financial resources and efforts on research and development activities. We do not expect to generate revenue from product sales for several years, if at all. We continue to incur significant research and development and other expenses related to our ongoing operations. The amount of our future net losses will depend, in part, on the level of our future expenditures and our ability to generate revenue. Moreover, our net losses may fluctuate significantly from quarter to</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quarter and year to year, such that a period-to-period comparison of our results of operations may not be a good indication of our future performance.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expect to continue to incur significant expenses and operating losses for the foreseeable future. Our expenses may increase substantially if and as we: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progress our current and any future product candidates through preclinical and clinical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expand our manufacturing facilities and work with our contract manufacturers to scale up the manufacturing processes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continue our research and discovery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continue the development of our Therapeutic Vector Evolution platform;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initiate and conduct additional preclinical, clinical or other studies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change or add additional contract manufacturers or suppliers;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seek regulatory approvals and marketing authorizations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establish sales, marketing and distribution infrastructure to commercialize any products for which we obtain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acquire or in-license product candidates, intellectual property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make milestone, royalty or other payments due under any current or future collaboration or license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obtain, maintain, expand, protect and enforce our intellectual property portfolio;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attract, hire and retain qualified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experience any delays or encounter other issues related to our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meet the requirements and demands of being a public company;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are adversely impacted by general economic conditions, such as rising inflation, tariffs and increased interest rates;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defend against any product liability claims or other lawsuits related to our products; and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color w:val="000000"/>
          <w:sz w:val="19"/>
        </w:rPr>
        <w:t xml:space="preserve">experience </w:t>
      </w:r>
      <w:r>
        <w:rPr>
          <w:rFonts w:ascii="Arial" w:hAnsi="Arial"/>
          <w:color w:val="000000"/>
          <w:sz w:val="20"/>
        </w:rPr>
        <w:t xml:space="preserve">delays in our preclinical studies and clinical trials, whether current or planned, due to pandemics or public health emergencies. </w:t>
      </w:r>
    </w:p>
    <w:p>
      <w:pPr>
        <w:pStyle w:val="TextBody"/>
        <w:bidi w:val="0"/>
        <w:spacing w:before="240" w:after="283"/>
        <w:jc w:val="both"/>
        <w:rPr>
          <w:rFonts w:ascii="Times New Roman" w:hAnsi="Times New Roman"/>
          <w:sz w:val="20"/>
        </w:rPr>
      </w:pPr>
      <w:r>
        <w:rPr>
          <w:rFonts w:ascii="Arial" w:hAnsi="Arial"/>
          <w:color w:val="000000"/>
          <w:sz w:val="20"/>
        </w:rPr>
        <w:t>Our prior losses and expected future losses have had and will continue to have an adverse effect on our stockholders’ deficit and working capital. In any particular quarter or quarters, our operating results could be below the expectations of securities analysts or investors, which could cause our stock price to decline.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Developing biopharmaceutical products, including conducting preclinical studies and clinical trials, is a very time consuming, expensive and uncertain process that takes years to complete. Our operations have required substantial amounts of cash since inception. To date, we have financed our operations primarily through the sale of equity securities and to a lesser extent from cash received pursuant to our collaboration and license agreements. We have initiated clinical trials, which are ongoing, and have additional product candidates in preclinical development that may enter clinical development. Developing our product candidates is expensive, and we expect to continue to spend substantial amounts as we fund</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our early-stage research projects, continue preclinical and clinical development of our product candidates and, in particular, advance our product candidates through clinical trials. Even if we are successful in developing our product candidates, obtaining regulatory approvals and launching and commercializing any product candidate will require substantial funding.</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As of March 31, 2026, we had $457.6 million in cash and cash equivalents and marketable securities.</w:t>
      </w:r>
    </w:p>
    <w:p>
      <w:pPr>
        <w:pStyle w:val="TextBody"/>
        <w:bidi w:val="0"/>
        <w:spacing w:before="240" w:after="283"/>
        <w:jc w:val="both"/>
        <w:rPr>
          <w:rFonts w:ascii="Arial" w:hAnsi="Arial"/>
          <w:color w:val="000000"/>
          <w:sz w:val="20"/>
        </w:rPr>
      </w:pPr>
      <w:r>
        <w:rPr>
          <w:rFonts w:ascii="Arial" w:hAnsi="Arial"/>
          <w:color w:val="000000"/>
          <w:sz w:val="20"/>
        </w:rPr>
        <w:t>Based on our current operating plan, we believe that our existing cash, cash equivalents and marketable securities will allow us to fund our planned operations for at least one year from the date of the issuance of the condensed financial statements included in this report.</w:t>
      </w:r>
    </w:p>
    <w:p>
      <w:pPr>
        <w:pStyle w:val="TextBody"/>
        <w:bidi w:val="0"/>
        <w:spacing w:before="240" w:after="283"/>
        <w:jc w:val="both"/>
        <w:rPr>
          <w:rFonts w:ascii="Times New Roman" w:hAnsi="Times New Roman"/>
          <w:sz w:val="20"/>
        </w:rPr>
      </w:pPr>
      <w:r>
        <w:rPr>
          <w:rFonts w:ascii="Arial" w:hAnsi="Arial"/>
          <w:color w:val="000000"/>
          <w:sz w:val="20"/>
        </w:rPr>
        <w:t>Additional funds may not be available when we need them, on terms that are acceptable to us, or at all. Our ability to raise additional capital may be adversely impacted by global economic conditions affecting credit and financial markets (including due to increased interest rates and high inflation rates) and product supply chains. If adequate funds are not available to us on a timely basis, we may be required to:</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delay, limit, reduce or terminate preclinical studies, clinical trials or other research and development activities or eliminate one or more of our development programs altogether; or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delay, limit, reduce or terminate our efforts to establish manufacturing and sales and marketing capabilities or other activities that may be necessary to commercialize our product candidates, or reduce our flexibility in developing or maintaining our sales and marketing strategy. </w:t>
      </w:r>
    </w:p>
    <w:p>
      <w:pPr>
        <w:pStyle w:val="TextBody"/>
        <w:bidi w:val="0"/>
        <w:spacing w:before="240" w:after="283"/>
        <w:jc w:val="both"/>
        <w:rPr>
          <w:rFonts w:ascii="Times New Roman" w:hAnsi="Times New Roman"/>
          <w:sz w:val="20"/>
        </w:rPr>
      </w:pPr>
      <w:r>
        <w:rPr>
          <w:rFonts w:ascii="Arial" w:hAnsi="Arial"/>
          <w:color w:val="000000"/>
          <w:sz w:val="20"/>
        </w:rPr>
        <w:t>We also could be required to seek funds through arrangements with collaborators or others that may require us to relinquish rights to, or jointly own some aspects of, our product candidates or technologies that we would otherwise pursue on our own. We do not expect to realize revenue from sales of products or royalties from licensed products in the foreseeable future, if at all, and unless and until a product candidate is clinically tested, approved for commercialization and successfully marketed.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will be required to seek additional funding in the future and currently intend to do so through collaborations, public or private equity offerings or debt financings, credit or loan facilities or a combination of one or more of these funding sources. Our ability to raise additional funds will depend on financial, economic and other factors, many of which are beyond our control. Additional funds may not be available to us on acceptable terms or at all. If we raise additional funds by issuing equity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If we are unable to raise additional capital in sufficient amounts or on terms acceptable to us, we may have to significantly delay, scale back or discontinue the development or commercialization of one or more of our product candidates or one or more of our other research and development initiatives. Any of the above events could seriously harm our business and cause the price of our common stock to decline.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Due to the significant resources required for the development of our product candidates, and depending on our ability to access capital, we must prioritize development of certain product candidates. Moreover, we may expend our limited resources on product candidates that do not yield a successful product and fail to capitalize on product candidates or indications that may be more profitable or for which there is a greater likelihood of success.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Due to the significant resources required for the development of our product candidates, in particular our product candidates in IND-enabling studies and those in clinical trials, we must decide which product candidates and indications to pursue and advance and the amount of resources to allocate to each. Our decisions concerning the allocation of research, development, collaboration, management and financial</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resources toward particular product candidates or therapeutic areas may not lead to the development of any viable commercial product and may divert resources away from better opportunities. Similarly, our potential decisions to delay, terminate or collaborate with third parties in respect of certain product candidates may subsequently also prove to be less than optimal and could cause us to miss valuable opportunities. If we make incorrect determinations regarding the viability or market potential of any of our product candidates or misread trends in the biopharmaceutical industry, particularly in retina and pulmonology, our business could be seriously harmed. As a result, we may fail to capitalize on viable commercial products or profitable market opportunities, be required to forego or delay pursuit of opportunities with other product candidates or other diseases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w:t>
      </w:r>
    </w:p>
    <w:p>
      <w:pPr>
        <w:pStyle w:val="TextBody"/>
        <w:bidi w:val="0"/>
        <w:spacing w:before="240" w:after="283"/>
        <w:jc w:val="both"/>
        <w:rPr>
          <w:rFonts w:ascii="Times New Roman" w:hAnsi="Times New Roman"/>
          <w:sz w:val="20"/>
        </w:rPr>
      </w:pPr>
      <w:r>
        <w:rPr>
          <w:rFonts w:ascii="Arial" w:hAnsi="Arial"/>
          <w:b/>
          <w:i/>
          <w:color w:val="000000"/>
          <w:sz w:val="20"/>
        </w:rPr>
        <w:t>The amount of our future losses is uncertain and our quarterly operating results may fluctuate significantly or may fall below the expectations of investors or securities analysts, each of which may cause our stock price to fluctuate or decline.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quarterly and annual operating results may fluctuate significantly, making it difficult for us to predict our future operating results. These fluctuations may occur due to a variety of factors, many of which are outside our control and may be difficult to predict,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timing and success or failure of preclinical studies and clinical trials for our product candidates or competing product candidates, or any other change in the competitive landscape of our industry, including consolidation among our competitors or collaboration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timing, cost, and level of investment in research, development and commercialization activities, which may change from time to time;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timing of receipt of approvals from regulatory authorities in the United States and internationally;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timing and status of enrollment and safety and efficacy readouts for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 of manufacturing, as well as building out our supply chain, which may vary depending on the quantity of production, the cost of continuing to establish and scale up our manufacturing capabilities, and the terms of any agreements we enter into with third-party suppliers;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timing and amount of any option, milestone, royalty or other payments due under any current or future collaboration or license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coverage and reimbursement policies with respect to our genetic medicine product candidates and potential future drugs that compete with our products,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expenditures that we may incur to acquire, develop or commercialize additional products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level of demand for our genetic medicine products, if approved, which may vary significantly over time;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future accounting pronouncements or changes in our accounting policies;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impact from general macroeconomic trends, such as higher inflation, tariffs and increased interest rates. </w:t>
      </w:r>
    </w:p>
    <w:p>
      <w:pPr>
        <w:pStyle w:val="TextBody"/>
        <w:bidi w:val="0"/>
        <w:spacing w:before="240" w:after="283"/>
        <w:jc w:val="both"/>
        <w:rPr>
          <w:rFonts w:ascii="Times New Roman" w:hAnsi="Times New Roman"/>
          <w:sz w:val="20"/>
        </w:rPr>
      </w:pPr>
      <w:r>
        <w:rPr>
          <w:rFonts w:ascii="Arial" w:hAnsi="Arial"/>
          <w:color w:val="000000"/>
          <w:sz w:val="20"/>
        </w:rPr>
        <w:t>The cumulative effects of these factors could result in large fluctuations and unpredictability in our quarterly and annual operating results. As a result, comparing our operating results on a period-to-period</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basis may not be meaningful. Investors should not rely on our past results as an indication of our future performance.</w:t>
      </w:r>
    </w:p>
    <w:p>
      <w:pPr>
        <w:pStyle w:val="TextBody"/>
        <w:bidi w:val="0"/>
        <w:spacing w:before="240" w:after="283"/>
        <w:jc w:val="both"/>
        <w:rPr>
          <w:rFonts w:ascii="Times New Roman" w:hAnsi="Times New Roman"/>
          <w:sz w:val="20"/>
        </w:rPr>
      </w:pPr>
      <w:r>
        <w:rPr>
          <w:rFonts w:ascii="Arial" w:hAnsi="Arial"/>
          <w:color w:val="000000"/>
          <w:sz w:val="20"/>
        </w:rPr>
        <w:t>This variability and unpredictability could also result in our failing to meet the expectations of financial analysts or investors for any period. If our revenue or operating results fall below or if operating expenses or other costs are higher than the expectations of analysts or investors or below or above, as the case may be,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color w:val="000000"/>
          <w:sz w:val="20"/>
        </w:rPr>
        <w:t>Risks Related to the Research, Discovery, Development and Commercialization of Our Product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All of our product candidates are based on a novel AAV genetic medicine technology with which there is limited regulatory and clinical experience to date, which makes it difficult to predict the time and cost of product candidate development and subsequently obtaining regulatory approval. Further, the regulatory approval process for novel product candidates such as ours can be more expensive and take longer than for other, better known or extensively studied therapeutic modalities.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All of our product candidates are based on genetic medicine technology, and our future success depends on the successful development of this novel therapeutic approach. We cannot assure you that any development problems we or other genetic medicine companies experience in the future related to genetic medicine technology will not cause significant delays or unanticipated costs in the development of our product candidates, or that such development problems can be solved. In addition, the clinical study requirements of the FDA and other regulatory agencies and the criteria these regulators use to determine the safety and efficacy of a product candidate vary substantially according to the type, complexity, novelty and intended use and market of the potential products. The regulatory approval process for novel product candidates such as ours can be more expensive and take longer than for other, better known or extensively studied therapeutic modalities. Further, as we are developing novel treatments for diseases in which there is limited clinical experience with new endpoints and methodologies, there is heightened risk that the FDA, EMA or comparable foreign regulatory bodies may not consider the clinical trial endpoints to provide clinically meaningful results, and the resulting clinical data and results may be more difficult to analyze. To date, few genetic medicine products have been approved by the FDA or comparable foreign regulatory authorities, which makes it difficult to determine how long it will take or how much it will cost to obtain regulatory approvals for our product candidates in the United States, the European Union (“EU”) or other jurisdictions. Further, approvals by one regulatory agency may not be indicative of what other regulatory agencies may require for approval.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Regulatory requirements governing genetic medicine products have evolved and may continue to change in the future. For example, the FDA has established the Office of Therapeutic Products within its Center for Biologics Evaluation and Research (“CBER”) to consolidate the review of genetic medicine and related products, and the Cellular, Tissue and Gene Therapies Advisory Committee to advise CBER on its review. These and other regulatory review agencies, committees and advisory groups and the requirements and guidelines they promulgate may lengthen the regulatory review process, require us to perform additional preclinical studies or clinical trials, increase our development costs, lead to changes in regulatory positions and interpretations, delay or prevent approval and commercialization of these treatment candidates or lead to significant post-approval limitations or restrictions.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National Institutes of Health (“NIH”) Guidelines for Research Involving Recombinant DNA Molecules (“NIH Guidelines”) require supervision of human gene transfer trials, including evaluation and assessment by an Institutional Biosafety Committee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While the NIH Guidelines are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are subject to significant regulatory oversight by the FDA, and, in addition, the applicable IBC and Institutional Review Board (“IRB”), of each institution at which we or our collaborators conduct clinical trials of our product candidates, or a central IRB if appropriate, need to review and approve the proposed clinical trial.</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Similar requirements apply in the EU. The EMA has a Committee for Advanced Therapies (“CAT”) that is responsible for assessing the quality, safety and efficacy of advanced therapy medicinal products, or ATMP(s). ATMPs include gene therapy medicines, somatic-cell therapy medicines and tissue-engineered medicines. The role of the CAT is to prepare a draft opinion on an application for marketing authorization for an ATMP candidate that is submitted to the EMA. In the EU, the development and evaluation of an ATMP must be considered in the context of the relevant EU guidelines. The EMA may issue new guidelines concerning the development and marketing authorization for gene therapy medicinal products and require that we comply with these new guidelines. Similarly complex regulatory environments exist in other jurisdictions.</w:t>
      </w:r>
    </w:p>
    <w:p>
      <w:pPr>
        <w:pStyle w:val="TextBody"/>
        <w:bidi w:val="0"/>
        <w:spacing w:before="240" w:after="283"/>
        <w:jc w:val="both"/>
        <w:rPr>
          <w:rFonts w:ascii="Arial" w:hAnsi="Arial"/>
          <w:color w:val="000000"/>
          <w:sz w:val="20"/>
        </w:rPr>
      </w:pPr>
      <w:r>
        <w:rPr>
          <w:rFonts w:ascii="Arial" w:hAnsi="Arial"/>
          <w:color w:val="000000"/>
          <w:sz w:val="20"/>
        </w:rPr>
        <w:t>Changes in applicable regulatory guidelines may lengthen the regulatory review process, require us to perform additional studies or trials, increase our development costs, lead to changes in regulatory positions and interpretations, delay or prevent approval and commercialization of our product candidates or lead to significant post-approval limitations or restrictions.</w:t>
      </w:r>
    </w:p>
    <w:p>
      <w:pPr>
        <w:pStyle w:val="TextBody"/>
        <w:bidi w:val="0"/>
        <w:spacing w:before="240" w:after="283"/>
        <w:jc w:val="both"/>
        <w:rPr>
          <w:rFonts w:ascii="Arial" w:hAnsi="Arial"/>
          <w:color w:val="000000"/>
          <w:sz w:val="20"/>
        </w:rPr>
      </w:pPr>
      <w:r>
        <w:rPr>
          <w:rFonts w:ascii="Arial" w:hAnsi="Arial"/>
          <w:color w:val="000000"/>
          <w:sz w:val="20"/>
        </w:rPr>
        <w:t>As we advance our product candidates, we will be required to consult with these regulatory and advisory groups and comply with applicable guidelines. If we fail to do so, we may be required to delay or discontinue development of such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 and could seriously harm our business.</w:t>
      </w:r>
    </w:p>
    <w:p>
      <w:pPr>
        <w:pStyle w:val="TextBody"/>
        <w:bidi w:val="0"/>
        <w:spacing w:before="240" w:after="283"/>
        <w:jc w:val="both"/>
        <w:rPr>
          <w:rFonts w:ascii="Times New Roman" w:hAnsi="Times New Roman"/>
          <w:sz w:val="20"/>
        </w:rPr>
      </w:pPr>
      <w:r>
        <w:rPr>
          <w:rFonts w:ascii="Arial" w:hAnsi="Arial"/>
          <w:b/>
          <w:i/>
          <w:color w:val="000000"/>
          <w:sz w:val="20"/>
        </w:rPr>
        <w:t>Adverse public perception or regulatory scrutiny of genetic medicine technology may negatively impact the developmental progress or commercial success of product candidates that we develop alone or with collaborators.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developmental and commercial success of our current product candidates, or any that we develop alone or with collaborators in the future, will depend in part on public acceptance of the use of genetic medicine technology, including the use of AAVs, for the prevention or treatment of human diseases. Adverse public perception of gene therapies may negatively impact our ability to raise capital or enter into strategic agreements for the development of product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Genetic medicine remains a novel technology. The commercial success of our genetic medicine product candidates, if successfully developed and approved, may be adversely affected by claims that genetic medicine is unsafe, unethical or immoral. This may lead to unfavorable public perception and the inability of any of our product candidates to gain the acceptance of the public or the medical community. Unfavorable public perceptions may also adversely impact our or our collaborators’ ability to enroll clinical trials for our product candidates. Moreover, success in commercializing any product candidates that receive regulatory approval will depend upon physicians prescribing, and their patients being willing to receive, treatments that involve the use of such product candidates in lieu of, or in addition to, existing treatments with which they are already familiar and for which greater clinical data may be available.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Publicity of any adverse events in, or unfavorable results of, preclinical studies or clinical trials for any current or future product candidates, or with respect to the studies or trials of our competitors or of academic researchers utilizing similar technologies, even if not ultimately attributable to our technology or</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product candidates, could negatively influence public opinion. Negative public perception about the use of AAV technology in human therapeutics, whether related to our technology or a competitor’s technology, could result in increased governmental regulation, delays in the development and commercialization of product candidates or decreased demand for the resulting products, any of which may seriously harm our business.</w:t>
      </w:r>
    </w:p>
    <w:p>
      <w:pPr>
        <w:pStyle w:val="TextBody"/>
        <w:bidi w:val="0"/>
        <w:spacing w:before="240" w:after="283"/>
        <w:jc w:val="both"/>
        <w:rPr>
          <w:rFonts w:ascii="Times New Roman" w:hAnsi="Times New Roman"/>
          <w:sz w:val="20"/>
        </w:rPr>
      </w:pPr>
      <w:r>
        <w:rPr>
          <w:rFonts w:ascii="Arial" w:hAnsi="Arial"/>
          <w:b/>
          <w:i/>
          <w:color w:val="000000"/>
          <w:sz w:val="20"/>
        </w:rPr>
        <w:t>Our product candidates may cause undesirable side effects or have other properties that could halt their clinical development, prevent their regulatory approval, limit their commercial potential or result in significant negative consequences.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Adverse events or other undesirable side effects caused by our product candidates could cause us or regulatory authorities to interrupt, delay or halt clinical trials and could result in a more restrictive label or the delay or denial of regulatory approval by the FDA or other comparable foreign regulatory authorities.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observed in previous trials, as well as conditions that did not occur or went undetected in previous trials, will be reported by patients. Less common adverse effects may not become evident until investigational products are tested in large-scale, Phase 3 clinical trials or, in some cases, after they are made available to patients on a commercial scale after approval.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If any serious adverse events occur, clinical trials or commercial distribution of any product candidates or products we develop alone or with collaborators could be suspended or terminated, and our business could be seriously harmed. Treatment-related side effects could also affect patient recruitment and the ability of enrolled patients to complete the trial or result in potential liability claims. Regulatory authorities could order us or our collaborators to cease further development of, deny approval of, or require us to cease selling any product candidates or products for any or all targeted indications. If we or our collaborators elect, or are required, to delay, suspend or terminate any clinical trial or commercialization efforts, the commercial prospects of such product candidates or products may be harmed, and our ability to generate product revenue from them or other product candidates that we develop may be delayed or eliminated. 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regulatory authorities may suspend, limit or withdraw approvals of such product, or seek an injunction against its manufacture or distribution;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regulatory authorities may require additional warnings on the label including “boxed” warnings, or issue safety alerts, Dear Healthcare Provider letters, press releases or other communications containing warnings or other safety information about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be required to change the way the product is administered or conduct additional clinical trials or post-approval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be required to create a Risk Evaluation and Mitigation Strategy (“REMS”), which could include a medication guide outlining the risks of such side effects for distribution to patients, a communication plan for healthcare providers and/or other elements to assure safe use;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product may become less competitive;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be subject to fines, injunctions or the imposition of criminal penalties;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could be sued and held liable for harm caused to patients;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reputation may suffer.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Any of these events could prevent us from achieving or maintaining market acceptance of the particular product candidate, if approved, and could seriously harm our business.</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Drug development is a highly uncertain undertaking and involves a substantial degree of risk. We have no products approved for commercial sale, and we have never generated any revenue from product sales, and we may never generate product revenue or be profitable.</w:t>
      </w:r>
    </w:p>
    <w:p>
      <w:pPr>
        <w:pStyle w:val="TextBody"/>
        <w:bidi w:val="0"/>
        <w:spacing w:before="240" w:after="283"/>
        <w:jc w:val="both"/>
        <w:rPr>
          <w:rFonts w:ascii="Times New Roman" w:hAnsi="Times New Roman"/>
          <w:sz w:val="20"/>
        </w:rPr>
      </w:pPr>
      <w:r>
        <w:rPr>
          <w:rFonts w:ascii="Arial" w:hAnsi="Arial"/>
          <w:color w:val="000000"/>
          <w:sz w:val="20"/>
        </w:rPr>
        <w:t>We have no products approved for commercial sale and have not generated any revenue from product sales. We do not anticipate generating any revenue from product sales until after we have successfully completed clinical development and received regulatory approval for the commercial sale of a product candidate, which will not occur for several years, if ever.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ability to generate revenue and achieve profitability depends significantly on many factors,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successfully completing research and preclinical and clinical development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obtaining regulatory approvals and marketing authorizations for product candidates for which we successfully complete clinical development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developing a sustainable and scalable manufacturing process for our product candidates, as well as establishing and maintaining commercially viable supply relationships with third parties that can provide adequate products and services to support clinical activities and any commercial demand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identifying, assessing, acquiring and/or developing new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negotiating favorable terms in any collaboration, licensing or other arrangements into which we may enter;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prevalence, duration and severity of potential side effects or other safety issues experienced with our product candidates or future approved products,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launching and successfully commercializing product candidates for which we obtain marketing approval, either by collaborating with a partner or, if launched independently, by establishing a sales, marketing and distribution infrastructure;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obtaining and maintaining an adequate price for our product candidates, both in the United States and in foreign countries where our product candidates are commercialized;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obtaining adequate reimbursement for our product candidates or procedures using our product candidates from payors;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convenience and durability of our treatment or dosing regimen;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acceptance by physicians, payors and patients of the benefits, safety and efficacy of our product candidates, or any future product candidates, if approved, including relative to alternative and competing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patient demand for any of our product candidates that may be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addressing any competing technological and market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 xml:space="preserve">the effects of any public health emergencies which may result in delays to patient enrollment, patients discontinuing their treatment or follow up visits or changes to trial protocols;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maintaining, protecting, expanding and enforcing our portfolio of intellectual property rights, including patents, trade secrets and know-how;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attracting, hiring and retaining qualified personnel.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Because of the numerous risks and uncertainties associated with drug development, we are unable to predict the timing or amount of our expenses, or when we will be able to generate any meaningful revenue or achieve or maintain profitability, if ever. In addition, our expenses could increase beyond our current expectations if we are required by the FDA or foreign regulatory agencies to perform studies in addition to those that we currently anticipate, or if there are any delays in any of our or our collaborators’ clinical trials or the development of any of our product candidates.</w:t>
      </w:r>
      <w:r>
        <w:rPr>
          <w:rFonts w:ascii="Times New Roman" w:hAnsi="Times New Roman"/>
          <w:color w:val="000000"/>
          <w:sz w:val="20"/>
        </w:rPr>
        <w:t xml:space="preserve"> </w:t>
      </w:r>
      <w:r>
        <w:rPr>
          <w:rFonts w:ascii="Arial" w:hAnsi="Arial"/>
          <w:color w:val="000000"/>
          <w:sz w:val="20"/>
        </w:rPr>
        <w:t>Even if one or more of our product candidates are approved for commercial sale, we anticipate incurring significant costs associated with commercializing any approved product candidate and ongoing compliance efforts.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Even if we are able to generate revenue from the sale of any approved products, we may not become profitable, and we will need to obtain additional funding through one or more equity or debt financings in order to continue operations. Revenue from the sale of any product candidate for which regulatory approval is obtained will be dependent, in part, upon the size of the markets in the territories for which we gain regulatory approval, the accepted price for the product, the ability to get reimbursement at any price and whether we own the commercial rights for that territory. If the number of addressable patients is not as large as we anticipate, the indication approved by regulatory authorities is narrower than we expect, the reasonably accepted population for treatment is narrowed by competition, physician choice or treatment guidelines or the price and available third-party reimbursement are lower than anticipated, we may not generate significant revenue from sales of such product candidate, even if approved. Even if we do achieve profitability, we may not be able to sustain or increase profitability on a quarterly or annual basis.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Our failure to become and remain profitable would decrease the value of our company and could impair our ability to raise capital, expand our business, maintain our research and development efforts, diversify our pipeline of product candidates or continue our operations and cause a decline in the value of our common stock, all or any of which may seriously harm our business.</w:t>
      </w:r>
    </w:p>
    <w:p>
      <w:pPr>
        <w:pStyle w:val="TextBody"/>
        <w:bidi w:val="0"/>
        <w:spacing w:before="240" w:after="283"/>
        <w:jc w:val="both"/>
        <w:rPr>
          <w:rFonts w:ascii="Times New Roman" w:hAnsi="Times New Roman"/>
          <w:sz w:val="20"/>
        </w:rPr>
      </w:pPr>
      <w:r>
        <w:rPr>
          <w:rFonts w:ascii="Arial" w:hAnsi="Arial"/>
          <w:b/>
          <w:i/>
          <w:color w:val="000000"/>
          <w:sz w:val="20"/>
        </w:rPr>
        <w:t>We may encounter substantial delays in our clinical trials or may not be able to conduct or complete our clinical trials on the timelines we expect, if at all.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Clinical testing is expensive, time consuming, and subject to uncertainty. We cannot guarantee that any clinical trials will be initiated, conducted as planned or completed on schedule, if at all. We also cannot be sure that submission of an IND or a clinical trial application (“CTA”) will result in the FDA or other regulatory authority, as applicable, allowing clinical trials to begin in a timely manner, if at all. Moreover, even if these trials begin, issues may arise that could delay, suspend or terminate such clinical trials. A failure of one or more clinical trials can occur at any stage of testing, and our future clinical trials may not be successful. In 2025, we initiated our wet AMD Phase 3 studies comparing a single dose of 4D-150 3E10 vg/eye to on-label aflibercept 2mg Q8 weeks. If we experience any delays in completing these trials, due to delays in enrollment or other factors, it could result in serious harm to our business. Events that may prevent successful or timely initiation or completion of clinical trials include: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inability to generate sufficient preclinical, toxicology, or other in vivo or in vitro data to support the initiation or continuation of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delays in reaching a consensus with regulatory agencies on study design or implementation of the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delays or failure in obtaining regulatory authorization to commence a trial;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delays in reaching agreement on acceptable terms with prospective contract research organizations (“CROs”) and clinical trial sites, the terms of which can be subject to extensive negotiation and may vary significantly among different CROs and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refusal of the FDA to accept data from clinical trials in geographies outside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delays in identifying, recruiting and training suitable clinical investigators;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delays in identifying, recruiting, and enrolling patients who meet the requirements of our clinical trials;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delays in obtaining required IRB approval or ethics committee opinion at each clinical trial site;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delays in manufacturing, testing, releasing, validating, or importing/exporting sufficient stable quantities of our product candidates for use in clinical trials or the inability to do any of the foregoing;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insufficient or inadequate supply or quality of product candidates or other materials necessary for use in clinical trials, or delays in sufficiently developing, characterizing or controlling a manufacturing process suitable for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imposition of a temporary or permanent clinical hold by regulatory agencies for a number of reasons, including after review of an IND or amendment, CTA or amendment, or equivalent foreign application or amendment; as a result of a new safety finding that presents unreasonable risk to clinical trial participants; or a negative finding from an inspection of our clinical trial operations or study sites;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developments on trials conducted by competitors for related technology that raise FDA or foreign regulatory authority concerns about risk to patients of the technology broadly; or if the FDA or a foreign regulatory authority finds that the investigational protocol or plan is clearly deficient to meet its stated objectives;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delays caused by patients withdrawing from clinical trials or failing to return for post-treatment follow-up;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difficulty collaborating with patient groups and investigators;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failure by our CROs, other third parties, or us to adhere to clinical trial protocols;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failure to perform in accordance with the FDA’s or any other regulatory authority’s good clinical practice (“GCP”) requirements or applicable regulatory guidelines in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occurrence of adverse events associated with the product candidate that are viewed to outweigh its potential benefits;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changes in regulatory requirements and guidance (including differing expectations across jurisdictions) that require amending or submitting new clinical protocols, expanding enrollment, modifying statistical assumptions (including non-inferiority margins), or submitting new or amended protocols, including for our Phase 3 trials of 4D-150;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changes in the standard of care on which a clinical development plan was based, which may require new or additional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 of clinical trials of our product candidates being greater than we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clinical trials of our product candidates producing negative or inconclusive results, which may result in our deciding, or regulators requiring us, to conduct additional clinical trials or abandon development of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transfer of manufacturing processes to larger-scale facilities operated by a CDMO or by us, and delays or failure by our CDMOs or us to make any necessary changes to such manufacturing process;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third parties being unwilling or unable to satisfy their contractual obligations to us;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adverse public perception or regulatory scrutiny of genetic medicine technology may negatively impact the developmental progress or commercial success of products that we develop alone or with collaborators.</w:t>
      </w:r>
    </w:p>
    <w:p>
      <w:pPr>
        <w:pStyle w:val="TextBody"/>
        <w:bidi w:val="0"/>
        <w:spacing w:before="240" w:after="283"/>
        <w:jc w:val="both"/>
        <w:rPr>
          <w:rFonts w:ascii="Times New Roman" w:hAnsi="Times New Roman"/>
          <w:sz w:val="20"/>
        </w:rPr>
      </w:pPr>
      <w:r>
        <w:rPr>
          <w:rFonts w:ascii="Arial" w:hAnsi="Arial"/>
          <w:color w:val="000000"/>
          <w:sz w:val="20"/>
        </w:rPr>
        <w:t>Patient enrollment, a determinative factor in the timing of clinical trials, is affected by many factors including the severity and difficulty of diagnosing the disease under investigation, knowledge of the disease in the medical community and availability of effective diagnostic methods, size and distribution of the patient population and process for identifying subjects, access of patients to medical professionals experienced in</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their disease, our ability to effectively disseminate information about our clinical trials to the patient population and access of patients to such information, eligibility and exclusion criteria for the trial in question, design of the trial protocol, availability, efficacy of, and our ability to compete with approved and standard of care therapies or other clinical trials for the disease or condition under investigation, perceived risks and benefits of the product candidate under trial or testing, availability of genetic testing for potential patients, efforts to facilitate timely enrollment in clinical trials, patient referral practices of physicians, ability to obtain and maintain subject consent, the risk that enrolled subjects will drop out before completion of the trial, the ability to monitor patients adequately during and after treatment, the time and financial commitments required of patients to enroll in our trials beyond the costs covered by the company, and the proximity and availability of and access to clinical trial sites for prospective patients. Furthermore, we rely on CROs and clinical trial sites to ensure the proper and timely conduct of our clinical trials, and while we have agreements governing their committed activities, we have limited influence over their actual performance.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Any inability to successfully initiate or complete clinical trials could result in additional costs to us or impair our ability to generate revenue. In addition, if we make manufacturing or formulation changes to our product candidates, we may be required, or we may elect to conduct additional studies to bridge our modified product candidates to earlier versions. Clinical trial delays could also shorten any periods during which our products have patent protection and may allow our competitors to bring products to market before we do, which could impair our ability to successfully commercialize our product candidates and may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could also encounter delays if a clinical trial is suspended or terminated by us, by the data safety monitoring board for such trial or by the FDA or any other regulatory authority, or if the IRBs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Delays in the completion of any clinical trial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trials may also ultimately lead to the denial of regulatory approval of our product candidates and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The limited number of patients who have the diseases for which many of our product candidates are being studied may make it more difficult for us to enroll or complete clinical trials or may result in findings in our clinical trials that do not reach levels of statistical significance sufficient for marketing approval.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Many of the conditions for which we plan to evaluate our current product candidates in clinical trials are rare genetic diseases. Accordingly, there are limited patient pools from which to draw for clinical trials. In addition to the rarity of these diseases, the eligibility criteria of our clinical trials will further limit the pool of available study participants as we will require that patients have specific characteristics that we can measure to assure their disease is either severe enough or not too advanced to include them in a trial. We or our collaborators may not be able to initiate or continue clinical trials on a timely basis or at all for any of our product candidates if we or our collaborators are unable to locate and enroll a sufficient number of eligible patients to participate in the trials as required by applicable regulations or as needed to provide appropriate statistical power for a given trial. Similarly, because many of the conditions we intend to treat are rare in nature, we plan to design and conduct clinical trials utilizing a small number of patients in order to evaluate the safety and therapeutic activity of our product candidates. Conducting trials in smaller subject populations increases the risk that any safety or efficacy issues observed in only a few patients could prevent such trials from reaching statistical significance or otherwise meeting their specified endpoints,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which could require us to conduct additional clinical trials, or delay or prevent our product candidates from receiving regulatory approval, which would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Research and development of biopharmaceutical products is inherently risky. We cannot give any assurance that any of our product candidates will receive regulatory approval, which is necessary before they can be commercialized or if they will ever be successfully commercialized.</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Aside from 4D-150, our product candidates are at an early stage of development. Our future success is dependent on our ability to successfully develop, obtain regulatory approval for, and then successfully commercialize our product candidates, and we may fail to do so for many reasons,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product candidates may not successfully complete preclinical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 product candidate may on further study be shown to have harmful side effects or other characteristics that indicate it does not meet applicable regulatory criteria;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competitors may develop therapeutics that render our product candidates obsolete or less attractive;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competitors may develop platform technologies that render our Therapeutic Vector Evolution platform technology obsolete or less attractive;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product candidates and Therapeutic Vector Evolution platform technology that we develop may not be sufficiently covered by intellectual property for which we hold exclusive rights or may be covered by third-party patents or other intellectual property or exclusive rights;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market for a product candidate may change so that the continued development of that product candidate is no longer reasonable or commercially attractive;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 product candidate may not be capable of being produced in commercial quantities at an acceptable cost,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if a product candidate obtains regulatory approval, we may be unable to establish sales and marketing capabilities, or successfully market such approved product candidate;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color w:val="000000"/>
          <w:sz w:val="19"/>
        </w:rPr>
        <w:t>delays in our clinical development plans due to public health emergencies;</w:t>
      </w:r>
      <w:r>
        <w:rPr>
          <w:color w:val="498205"/>
        </w:rPr>
        <w:t xml:space="preserve"> </w:t>
      </w:r>
      <w:r>
        <w:rPr>
          <w:rFonts w:ascii="Arial" w:hAnsi="Arial"/>
          <w:color w:val="000000"/>
          <w:sz w:val="20"/>
        </w:rPr>
        <w:t>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product candidate may not be accepted as safe and effective by patients, the medical community or third-party payors.</w:t>
      </w:r>
    </w:p>
    <w:p>
      <w:pPr>
        <w:pStyle w:val="TextBody"/>
        <w:bidi w:val="0"/>
        <w:spacing w:before="240" w:after="283"/>
        <w:jc w:val="both"/>
        <w:rPr>
          <w:rFonts w:ascii="Times New Roman" w:hAnsi="Times New Roman"/>
          <w:sz w:val="20"/>
        </w:rPr>
      </w:pPr>
      <w:r>
        <w:rPr>
          <w:rFonts w:ascii="Arial" w:hAnsi="Arial"/>
          <w:color w:val="000000"/>
          <w:sz w:val="20"/>
        </w:rPr>
        <w:t>If any of these events occur, we or our collaborators may be forced to abandon our development efforts for a product candidate or candidates, which would seriously harm our business. Failure of a product candidate may occur at any stage of preclinical or clinical development, and, because most of our product candidates and our Therapeutic Vector Evolution platform technology are in an early stage of development, there is a relatively higher risk of failure, and we may never succeed in developing marketable products or generating product revenue.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may not be successful in our efforts to further develop our Therapeutic Vector Evolution platform technology and current product candidates. We are not permitted to market or promote any of our product candidates before we receive regulatory approval from the FDA or comparable foreign regulatory authorities, and we may never receive such regulatory approval for any of our product candidates. Aside from 4D-150, each of our product candidates is in the early stages of development and will require significant additional clinical development, management of preclinical, clinical, and manufacturing activities, regulatory approval, adequate manufacturing supply, a commercial organization, and significant marketing efforts before we generate any revenue from product sales, if at all. Any clinical trials that we may conduct may not demonstrate the efficacy and safety necessary to obtain regulatory approval to market our product candidates. If the results of our ongoing or future clinical trials are inconclusive with respect to the efficacy of our product candidates or if we do not meet the clinical endpoints with statistical significance or if there are safety concerns or adverse events associated with our product candidates, we may be prevented or delayed in obtaining marketing approval for our product candidates.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If any of our product candidates successfully complete clinical trials, we generally plan to seek regulatory approval to market our product candidates in the United States, the EU, and in additional foreign countries where we believe there is a viable commercial opportunity. We have never commenced, compiled or submitted an application seeking regulatory approval to market any product candidate, which may impede our ability to secure approval and successfully launch our therapies. We may never receive regulatory approval to market any product candidates even if such product candidates successfully complete clinical trials, which would seriously harm our business. To obtain regulatory approval in countries outside the United States, we must comply with numerous and varying regulatory requirements of such other countries regarding safety, efficacy, purity, potency, chemistry, manufacturing and controls, clinical trials, commercial sales, pricing and distribution of our product candidates. We may also rely on our collaborators or collaboration partners to conduct the required activities to support an application for regulatory approval, and to seek approval, for one or more of our product candidates. We cannot be sure that our collaborators or collaboration partners will conduct these activities successfully or do so within the timeframe we desire. Even if we (or our collaborators or collaboration partners) are successful in obtaining approval in one jurisdiction, we cannot assure you that we will obtain approval in any other jurisdictions. Failure to obtain approval for our product candidates in multiple jurisdictions will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Even if we receive regulatory approval to market any of our product candidates, we cannot assure you that any such product candidate will be successfully commercialized, widely accepted in the marketplace or more effective than other commercially available alternatives. Any approval we may obtain could be for indications or patient populations that are not as broad as intended or desired or may require labeling that includes significant use or distribution restrictions or safety warnings. We may also be required to perform additional or unanticipated clinical trials to obtain approval or be subject to additional post-marketing testing requirements to maintain approval. In addition, regulatory authorities may withdraw their approval of a product or impose restrictions on its distribution, such as in the form of a REMS. The failure to obtain timely regulatory approval of product candidates, any product marketing limitations or a product withdrawal would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Investment in biopharmaceutical product development involves significant risk that any product candidate will fail to demonstrate adequate efficacy or an acceptable safety profile, gain regulatory approval, and become commercially viable. We cannot assure you that we will be able to successfully advance any of our product candidates through the development process or, if approved, successfully commercialize any of our product candidates.</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Public health crises such as pandemics or similar outbreaks have affected and could continue to seriously and adversely affect our preclinical and clinical trials, business, financial condition and results of operations.</w:t>
      </w:r>
    </w:p>
    <w:p>
      <w:pPr>
        <w:pStyle w:val="TextBody"/>
        <w:bidi w:val="0"/>
        <w:spacing w:before="240" w:after="283"/>
        <w:jc w:val="both"/>
        <w:rPr>
          <w:rFonts w:ascii="Arial" w:hAnsi="Arial"/>
          <w:color w:val="000000"/>
          <w:sz w:val="20"/>
        </w:rPr>
      </w:pPr>
      <w:r>
        <w:rPr>
          <w:rFonts w:ascii="Arial" w:hAnsi="Arial"/>
          <w:color w:val="000000"/>
          <w:sz w:val="20"/>
        </w:rPr>
        <w:t>Public health crises, such as pandemics or similar outbreaks, could result in public health guidance measures, including in the locations of our offices, clinical trial sites, key vendors and partners. We expect that our clinical development program timelines could be negatively affected by such pandemics, any public health orders or measures implemented in response to such pandemics, or residual effects thereof, which could seriously harm our business.</w:t>
      </w:r>
    </w:p>
    <w:p>
      <w:pPr>
        <w:pStyle w:val="TextBody"/>
        <w:bidi w:val="0"/>
        <w:spacing w:before="240" w:after="283"/>
        <w:jc w:val="both"/>
        <w:rPr>
          <w:rFonts w:ascii="Times New Roman" w:hAnsi="Times New Roman"/>
          <w:sz w:val="20"/>
        </w:rPr>
      </w:pPr>
      <w:r>
        <w:rPr>
          <w:rFonts w:ascii="Arial" w:hAnsi="Arial"/>
          <w:b/>
          <w:i/>
          <w:color w:val="000000"/>
          <w:sz w:val="20"/>
        </w:rPr>
        <w:t>Disruptions at the FDA and other government agencies caused by funding shortages, staffing limitations or policy changes could hinder their ability to hire, retain or deploy key leadership and other personnel, or otherwise prevent new or modified products from being developed, approved or commercialized in a timely manner or at all.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ability of the FDA and foreign regulatory authorities to review and/or approve new products can be affected by a variety of factors, including government budget, personnel, and funding levels, statutory, regulatory, and policy changes, the FDA’s and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In addition, government funding of</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other government agencies that fund research and development activities is subject to the political process, which is inherently fluid and unpredictable. Disruptions at the FDA and other agencies may also slow the time necessary for new drugs and biologics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 In addition, the current U.S. Presidential administration has issued certain policies and Executive Orders directed towards reducing the employee headcount and costs associated with U.S. administrative agencies, including the FDA, which have resulted in substantial personnel changes, and it remains unclear the degree to which these efforts may limit or otherwise adversely affect the FDA's ability to conduct routine activities.</w:t>
      </w:r>
    </w:p>
    <w:p>
      <w:pPr>
        <w:pStyle w:val="TextBody"/>
        <w:bidi w:val="0"/>
        <w:spacing w:before="240" w:after="283"/>
        <w:jc w:val="both"/>
        <w:rPr>
          <w:rFonts w:ascii="Times New Roman" w:hAnsi="Times New Roman"/>
          <w:sz w:val="20"/>
        </w:rPr>
      </w:pPr>
      <w:r>
        <w:rPr>
          <w:rFonts w:ascii="Arial" w:hAnsi="Arial"/>
          <w:color w:val="000000"/>
          <w:sz w:val="20"/>
        </w:rPr>
        <w:t>If a prolonged government shutdown occurs, or if funding shortages, staffing limitations, or policy changes prevent the FDA or other regulatory authorities from conducting their regular inspections, reviews, or other regulatory activities, such events could significantly impact the ability of the FDA or such other regulatory authorities to timely review and process our regulatory submissions, which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Our clinical trials may fail to demonstrate substantial evidence of the safety and efficacy of our product candidates, which would prevent, delay or limit the scope of regulatory approval and commercialization, which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Before obtaining regulatory approvals for the commercial sale of any of our product candidates, we or our collaborators must demonstrate through lengthy, complex and expensive preclinical studies and clinical trials that our product candidates are both safe and effective for use in each target indication. Further, because our product candidates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Clinical testing is expensive and can take many years to complete, and its outcome is inherently uncertain. Failure can occur at any time during the clinical trial process. The results of preclinical studies of our product candidates may not be predictive of the results of early-stage or later-stage clinical trials, and results of early clinical trials of our product candidates may not be predictive of the results of later-stage clinical trials. The results of clinical trials in one set of patients or disease indications may not be predictive of those obtained in another.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Product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or unacceptable safety issues, notwithstanding promising results in earlier trials. Most product candidates that begin clinical trials are never approved by regulatory authorities for commercialization.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have limited experience in designing clinical trials and may be unable to design and execute a clinical trial to support marketing approval. We cannot be certain that our ongoing and planned clinical trials or any other future clinical trials will be successful. Additionally, any safety concerns observed in any one of our clinical trials in our targeted indications could limit the prospects for regulatory approval of our product candidates in those and other indications, which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Further, even if such clinical trials are successfully completed, we cannot assure you that the FDA or foreign regulatory authorities will interpret the results as we do, and more trials could be required before we submit our product candidates for approval. To the extent that the results of the trials are not satisfactory to the FDA or foreign regulatory authorities for support of a marketing application, we may be required to expend significant additional resources, which may not be available to us, to conduct additional trials in</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support of potential approval of our product candidates. Even if regulatory approval is secured for any of our product candidates, the terms of such approval may limit the scope and use of our product candidate, which may also limit its commercial potential.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addition, the FDA’s and other regulatory authorities’ policies with respect to clinical trials may change and additional government regulations may be enacted. For instance, the regulatory landscape related to clinical trials in the EU recently evolved. The EU Clinical Trials Regulation (“CTR”), which was adopted in April 2014 and repeals the EU Clinical Trials Directive, became applicable on January 31, 2022. While the EU Clinical Trials Directive required a separate CTA to be submitted in each member state in which the clinical trial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foresees a three-year transition period. The extent to which ongoing and new clinical trials will be governed by the CTR varies. Clinical trials for which an application was submitted (i) prior to January 31, 2022 under the EU Clinical Trials Directive, or (ii) between January 31, 2022 and January 31, 2023 and for which the sponsor has opted for the application of the EU Clinical Trials Directive remain governed by said Directive until January 31, 2025. After this date, all clinical trials (including those which are ongoing) will become subject to the provisions of the CTR. Compliance with the CTR requirements by us and our third-party service providers, such as CROs, may impact our development plans in the EU.</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Interim, “top-line” and preliminary data from studies or trials that we announce or publish from time to time may change as more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From time to time, we publicly disclose top-line or preliminary data from preclinical studies and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Preliminary or “top-line” data also remain subject to audit and verification procedures that may result in the final data being materially different from the preliminary data we previously published. As a result, top-line and preliminary data should be viewed with caution until the final data are available.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From time to time, we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differences between preliminary, top-line or interim data and final data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we determine to be material information, and you or others may not agree with what we determine is the material or otherwise appropriate information to include in our disclosure. Any information we determine not to disclose may ultimately be deemed significant by you or others with respect to future decisions, conclusions, views, activities or otherwise regarding a particular product candidate or our business. If the top-line or interim</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data that we report differ from final results, or if others, including regulatory authorities, disagree with the conclusions reached, our ability to obtain approval for, and commercialize, product candidates may be harmed, which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may not be successful in our efforts to continue to create a pipeline of product candidates or to develop commercially successful products. If we fail to successfully identify and develop additional product candidates, our commercial opportunity may be limited,</w:t>
      </w:r>
      <w:r>
        <w:rPr>
          <w:rFonts w:ascii="Times New Roman" w:hAnsi="Times New Roman"/>
          <w:color w:val="0078D4"/>
          <w:sz w:val="20"/>
        </w:rPr>
        <w:t xml:space="preserve"> </w:t>
      </w:r>
      <w:r>
        <w:rPr>
          <w:rFonts w:ascii="Arial" w:hAnsi="Arial"/>
          <w:b/>
          <w:i/>
          <w:color w:val="000000"/>
          <w:sz w:val="20"/>
        </w:rPr>
        <w:t>which could seriously harm our business.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One of our strategies is to identify and pursue preclinical and clinical development and commercialization of additional product candidates through our Therapeutic Vector Evolution platform technology. Our Therapeutic Vector Evolution platform technology may not produce a pipeline of viable product candidates, or our competitors may develop platform technologies that render our Therapeutic Vector Evolution platform technology obsolete or less attractive. Our research methodology may be unsuccessful in identifying potential product candidates or our potential product candidates may be shown to have harmful side effects or may have other characteristics that may make them unmarketable or unlikely to receive marketing approval. Identifying, developing and obtaining regulatory approval and commercializing additional product candidates will require substantial funding and is prone to the risks of failure inherent in drug development. If we are unable to successfully identify, acquire, develop and commercialize additional product candidates, our commercial opportunity may be limited, which could seriously harm our business.</w:t>
      </w:r>
    </w:p>
    <w:p>
      <w:pPr>
        <w:pStyle w:val="TextBody"/>
        <w:bidi w:val="0"/>
        <w:spacing w:before="240" w:after="283"/>
        <w:jc w:val="both"/>
        <w:rPr>
          <w:rFonts w:ascii="Times New Roman" w:hAnsi="Times New Roman"/>
          <w:sz w:val="20"/>
        </w:rPr>
      </w:pPr>
      <w:r>
        <w:rPr>
          <w:rFonts w:ascii="Arial" w:hAnsi="Arial"/>
          <w:b/>
          <w:i/>
          <w:color w:val="000000"/>
          <w:sz w:val="20"/>
        </w:rPr>
        <w:t>We face substantial competition, which may result in others discovering, developing or commercializing products before or more successfully than we do.</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development and commercialization of new drug products is highly competitive. We may face competition with respect to any product candidates that we seek to develop or commercialize in the future from major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There are a number of large pharmaceutical and biotechnology companies that are currently pursuing the development of products for the treatment of the indications for which we have product candidates, including wet AMD, DME, GA and cystic fibrosis. Certain of our competitors have commercially approved products for the treatment of the diseases that we are pursuing or may pursue in the future, including Apellis Pharmaceuticals Inc., Astellas Pharma Inc., Regeneron Pharmaceuticals Inc., Roche and Vertex Pharmaceuticals Incorporated. These drugs are well established therapies and are widely accepted by physicians, patients and third-party payors, which may make it difficult to convince these parties to switch to our product candidates. Companies that we are aware are developing therapeutics in the retina and pulmonology disease areas include large companies with significant financial resources, such as AbbVie Inc, Astellas Pharma Inc., Eli Lilly and Company, Johnson &amp; Johnson, Merck &amp; Company Inc., Regeneron Pharmaceuticals Inc., Roche, Sanofi and Vertex Pharmaceuticals Incorporated, and biopharmaceutical companies such as Apellis Pharmaceuticals Inc., Arcturus Therapeutics Holdings Inc., EyePoint Inc., Kodiak Sciences Inc., Krystal Biotech Inc., Ocular Therapeutix Inc., Recode Therapeutics Inc., REGENXBIO Inc. and Sionna Therapeutics Inc. In addition to competition from other companies targeting retina and pulmonology, any products we may develop may also face competition from other types of therapies, such as gene-editing therapies and drug delivery devices.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and retaining qualified scientific and management personnel and establishing clinical trial sites and patient registration for clinical trials, as well as in acquiring technologies complementary to, or necessary for, our product candidates.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retina and pulmonology indications, which could give such products significant regulatory and market timing advantages over any of our product candidates. Our competitors also may obtain FDA, EMA or other regulatory approval for their products more rapidly than we may obtain approval for ours. Additionally, products or technologies developed by our competitors may render our potential product candidates uneconomical or obsolete, and we may not be successful in marketing against competitors any product candidates we may develop.</w:t>
      </w:r>
    </w:p>
    <w:p>
      <w:pPr>
        <w:pStyle w:val="TextBody"/>
        <w:bidi w:val="0"/>
        <w:spacing w:before="240" w:after="283"/>
        <w:jc w:val="both"/>
        <w:rPr>
          <w:rFonts w:ascii="Times New Roman" w:hAnsi="Times New Roman"/>
          <w:sz w:val="20"/>
        </w:rPr>
      </w:pPr>
      <w:r>
        <w:rPr>
          <w:rFonts w:ascii="Arial" w:hAnsi="Arial"/>
          <w:b/>
          <w:i/>
          <w:color w:val="000000"/>
          <w:sz w:val="20"/>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some of our product candidates if and when they are approved.</w:t>
      </w:r>
    </w:p>
    <w:p>
      <w:pPr>
        <w:pStyle w:val="TextBody"/>
        <w:bidi w:val="0"/>
        <w:spacing w:before="240" w:after="283"/>
        <w:jc w:val="both"/>
        <w:rPr>
          <w:rFonts w:ascii="Times New Roman" w:hAnsi="Times New Roman"/>
          <w:sz w:val="20"/>
        </w:rPr>
      </w:pPr>
      <w:r>
        <w:rPr>
          <w:rFonts w:ascii="Arial" w:hAnsi="Arial"/>
          <w:color w:val="000000"/>
          <w:sz w:val="20"/>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Factors that may inhibit our efforts to commercialize any approved product on our own include: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inability to recruit and retain adequate numbers of effective sales, marketing, reimbursement, compliance, customer service, medical affairs and other support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inability to recruit and build a commercial infrastructure;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inability of sales personnel to obtain access to physicians or persuade adequate numbers of physicians to prescribe any future approved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inability of reimbursement professionals to negotiate arrangements for formulary access, reimbursement, and other acceptance by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inability to price our products at a sufficient price point to ensure an adequate and attractive level of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restricted or closed distribution channels that make it difficult to distribute our products to segments of the patient population;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lack of complementary products to be offered by sales personnel, which may put us at a competitive disadvantage relative to companies with more extensive product lines;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unforeseen costs and expenses associated with creating an independent commercialization organization. </w:t>
      </w:r>
    </w:p>
    <w:p>
      <w:pPr>
        <w:pStyle w:val="TextBody"/>
        <w:bidi w:val="0"/>
        <w:spacing w:before="240" w:after="283"/>
        <w:jc w:val="both"/>
        <w:rPr>
          <w:rFonts w:ascii="Times New Roman" w:hAnsi="Times New Roman"/>
          <w:sz w:val="20"/>
        </w:rPr>
      </w:pPr>
      <w:r>
        <w:rPr>
          <w:rFonts w:ascii="Arial" w:hAnsi="Arial"/>
          <w:color w:val="000000"/>
          <w:sz w:val="20"/>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 and our business would be seriously harmed.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Even if any product candidates we develop receive marketing approval, they may fail to achieve the degree of market acceptance by physicians, patients, healthcare payors and others in the medical community necessary for commercial success.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commercial success of any of our product candidates will depend upon its degree of market acceptance by physicians, patients, third-party payors and others in the medical community. Even if any product candidates we may develop receive marketing approval, they may nonetheless fail to gain sufficient market acceptance by physicians, patients, third-party payors and others in the medical community. The degree of market acceptance of any product candidates we may develop, if approved for commercial sale, will depend on a number of factors,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efficacy and safety of such product candidates as demonstrated in pivotal clinical trials and published in peer-reviewed journals;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potential and perceived advantages compared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ability to offer our products for sale at competitive prices;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ability to offer appropriate patient access programs, such as co-pay assistance;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sufficient third-party coverage or reimbursement;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extent to which physicians recommend our products to their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convenience and ease of dosing and administration compared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clinical indications for which the product candidate is approved by FDA, EMA or other regulatory agencies;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product labeling or product insert requirements of the FDA, EMA or other comparable foreign regulatory authorities, including any limitations, contraindications or warnings contained in a product’s approved labeling;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restrictions on how the product is distributed;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timing of market introduction of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publicity concerning our products or competing products and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strength of marketing and distribution support;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prevalence and severity of any side effects. </w:t>
      </w:r>
    </w:p>
    <w:p>
      <w:pPr>
        <w:pStyle w:val="TextBody"/>
        <w:bidi w:val="0"/>
        <w:spacing w:before="240" w:after="283"/>
        <w:jc w:val="both"/>
        <w:rPr>
          <w:rFonts w:ascii="Times New Roman" w:hAnsi="Times New Roman"/>
          <w:sz w:val="20"/>
        </w:rPr>
      </w:pPr>
      <w:r>
        <w:rPr>
          <w:rFonts w:ascii="Arial" w:hAnsi="Arial"/>
          <w:color w:val="000000"/>
          <w:sz w:val="20"/>
        </w:rPr>
        <w:t>If any product candidates we develop do not achieve an adequate level of acceptance, we may not generate significant product revenue, and we may not become profitable and our business could be seriously harmed.</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color w:val="000000"/>
          <w:sz w:val="20"/>
        </w:rPr>
        <w:t>Risks Related to Manufacturing</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Gene therapies are novel, complex and difficult to manufacture. We could experience production problems that result in delays in our development or commercialization programs, limit the supply of our products or otherwise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currently manufacture and test clinical trial material for our products both internally at our cGMP facility, and externally at our partner CDMOs. Our product candidates require processing steps that are more complex than those required for most chemical and protein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employ multiple steps to control our manufacturing process to assure that the process works and the product candidate is made strictly and consistently in compliance with the process. Problems with the manufacturing process, even minor deviations from the normal process, could result in product defects or manufacturing failures that result in lot failures, product recalls, product liability claims or insufficient inventory, which could delay or prevent the initiation of clinical trials or receipt of regulatory approvals. We may encounter problems achieving adequate quantities and quality of clinical-grade materials that meet FDA, or other comparable applicable foreign standards or specifications with consistent and acceptable production yields and costs.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addition, FDA and other comparable foreign regulatory authorities may require us to submit samples of any lot of any approved product together with the protocols showing the results of applicable tests at any time. Under some circumstances, the FDA or other comparable foreign regulatory authorities may require that we not distribute a lot until the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clinical trials or product launches which could be costly to us and otherwise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also may encounter problems hiring and retaining the experienced scientific, quality control and manufacturing personnel needed to operate our manufacturing process which could result in delays in our production or difficulties in maintaining compliance with applicable regulatory requirements.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Any problems in our manufacturing process or the facilities with which we contract could make us a less attractive collaborator for potential partners, including larger pharmaceutical companies, which could limit our access to additional attractive development programs. Problems in manufacturing processes or facilities also could restrict our ability to meet market demand for our products. Additionally, should our supply needs exceed our internal capabilities and supply agreements with other parties with whom we have manufacturing agreements be terminated for any reason, there are a limited number of manufacturers who would be suitable replacements, and it would take a significant amount of time to transition the manufacturing to an alternative manufacturing organization.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Delays in obtaining regulatory approval of our manufacturing process or disruptions in our manufacturing process may delay or disrupt our commercialization efforts.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Before we can begin to commercially manufacture our product candidates in third-party or our own facilities, we must obtain regulatory approval from the FDA to market our product using the manufacturing process and facility we proposed in our marketing application. In addition, we must successfully complete a pre-approval inspection of our manufacturing facility by the FDA before any of our product candidates can obtain marketing approval, if ever. In order to obtain approval of a BLA for our product candidates, we will need to ensure that all of our manufacturing processes, methods and equipment are compliant with cGMP, and perform extensive audits of vendors, contract laboratories and suppliers. If any of our vendors, contract laboratories or suppliers is found to be out of compliance with cGMP, we may experience delays or disruptions in manufacturing while we work with these third parties to remedy the violation or while we work to identify suitable replacement vendors. The cGMP requirements govern quality control of the manufacturing process and documentation policies and procedures. In complying with cGMP, we will be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obligated to expend time, money and effort in production, record keeping and quality control to assure that the product meets applicable specifications and other requirements. If we fail to comply with these requirements, we would be subject to possible regulatory action and may not be permitted to sell any products that we may develop. Similar risks may exist in foreign jurisdictions.</w:t>
      </w:r>
    </w:p>
    <w:p>
      <w:pPr>
        <w:pStyle w:val="TextBody"/>
        <w:bidi w:val="0"/>
        <w:spacing w:before="240" w:after="283"/>
        <w:jc w:val="both"/>
        <w:rPr>
          <w:rFonts w:ascii="Times New Roman" w:hAnsi="Times New Roman"/>
          <w:sz w:val="20"/>
        </w:rPr>
      </w:pPr>
      <w:r>
        <w:rPr>
          <w:rFonts w:ascii="Arial" w:hAnsi="Arial"/>
          <w:b/>
          <w:i/>
          <w:color w:val="000000"/>
          <w:sz w:val="20"/>
        </w:rPr>
        <w:t>Delays in developing our manufacturing capabilities or failure to achieve operating efficiencies from it may require us to devote additional resources and management time to manufacturing operations and may delay our product development timelines.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have approximately 17,000 square feet of laboratory and manufacturing space at our headquarters in Emeryville, California, a large portion of which we plan to devote to manufacturing activities for our clinical trials under cGMP. We may face delays in the production of clinical supply at our manufacturing facility and cannot guarantee when our facility will be able to produce sufficient quantities of product candidates needed to support our planned clinical trials. Any delays in developing our internal manufacturing capabilities may disrupt or delay the supply of our product candidates if we have not maintained a sufficient back-up supply of such product candidates through third-party manufacturers. Moreover, changing manufacturing facilities during the clinical development process may also require that we or our collaborators conduct additional studies, make notifications to regulatory authorities, make additional filings to regulatory authorities, and obtain regulatory authority approval for the new facilities, which may be delayed or which we may never receive. We will further need to comply with the FDA’s and applicable foreign regulatory authorities’ cGMP requirements for the production of product candidates for clinical trials and, if approved, commercial supply, and will be subject to FDA and comparable foreign regulatory authority inspection. These requirements include the qualification and validation of our manufacturing equipment and processes. We may not be able to develop or acquire the internal expertise and resources necessary for compliance with these requirements.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order to develop internal manufacturing expertise, we may be forced to devote greater resources and management time than anticipated, particularly in areas relating to operations, quality, regulatory, facilities and information technology. We also may encounter problems hiring and retaining the experienced scientific, quality control and manufacturing personnel needed to operate our manufacturing processes. If we experience unanticipated employee shortage or turnover in any of these areas, we may not be able to effectively manage our ongoing manufacturing operations and we may not achieve the operating efficiencies that we anticipate from developing these capabilities, which may negatively affect our product development timeline or result in difficulties in maintaining compliance with applicable regulatory requirements. Any such problems could result in the delay, prevention or impairment of clinical development and commercialization of our product candidates and would seriously harm our business.</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We currently rely and expect to continue to rely on third parties to conduct product manufacturing for certain of our product candidates, and these third parties may not perform satisfactorily.</w:t>
      </w:r>
    </w:p>
    <w:p>
      <w:pPr>
        <w:pStyle w:val="TextBody"/>
        <w:bidi w:val="0"/>
        <w:spacing w:before="240" w:after="283"/>
        <w:jc w:val="both"/>
        <w:rPr>
          <w:rFonts w:ascii="Times New Roman" w:hAnsi="Times New Roman"/>
          <w:sz w:val="20"/>
        </w:rPr>
      </w:pPr>
      <w:r>
        <w:rPr>
          <w:rFonts w:ascii="Arial" w:hAnsi="Arial"/>
          <w:color w:val="000000"/>
          <w:sz w:val="20"/>
        </w:rPr>
        <w:t>We currently rely, and expect to continue to rely, on third parties for the production of some of our planned clinical trial drugs and commercial drug materials and, therefore, we can control only certain aspects of their activities. The facilities used by our contract manufacturers to manufacture certain of our product candidates must be reviewed by the FDA pursuant to inspections that will be conducted after we submit a BLA to the FDA. We do not control the manufacturing process of, and are completely dependent on, our contract manufacturing partners for compliance with the cGMP or similar foreign requirements</w:t>
      </w:r>
      <w:r>
        <w:rPr>
          <w:rFonts w:ascii="Times New Roman" w:hAnsi="Times New Roman"/>
          <w:color w:val="D13438"/>
          <w:sz w:val="20"/>
        </w:rPr>
        <w:t xml:space="preserve"> </w:t>
      </w:r>
      <w:r>
        <w:rPr>
          <w:rFonts w:ascii="Arial" w:hAnsi="Arial"/>
          <w:color w:val="000000"/>
          <w:sz w:val="20"/>
        </w:rPr>
        <w:t>for manufacture of our products. If our contract manufacturers cannot successfully manufacture material that conforms to our specifications and the strict regulatory requirements of the FDA or others, we will not be able to obtain and/or maintain regulatory approval for our products as manufactured at their manufacturing facilities. Further, our CDMOs may use different facilities to manufacture our product candidate(s), and we and our CDMOs will be required to meet certain regulatory conditions, such as establishing comparability between the product candidates manufactured at each facility. Our failure, or failure by our CDMOs, to demonstrate sufficient comparability between a product candidate manufactured at different facilities may cause a delay in using a manufacturing facility for production, extend our clinical trial timelines and adversely impact our regulatory approval process. In addition, we have no control over the ability of our contract manufacturers to maintain adequate quality control, quality assurance and qualified personnel. If</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addition, we rely on additional third parties to manufacture plasmids used in the manufacture of our product candidates and to perform quality testing, and reliance on these third parties entails risks to which we would not be subject if we manufactured the plasmids ourselves,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reduced control over certain aspects of manufacturing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termination or nonrenewal of manufacturing and service agreements with third parties in a manner or at a time that is costly or damaging to us;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disruptions to the operations of our third-party manufacturers and service providers caused by conditions unrelated to our business or operations, including the bankruptcy of the manufacturer or service provider. </w:t>
      </w:r>
    </w:p>
    <w:p>
      <w:pPr>
        <w:pStyle w:val="TextBody"/>
        <w:bidi w:val="0"/>
        <w:spacing w:before="240" w:after="283"/>
        <w:jc w:val="both"/>
        <w:rPr>
          <w:rFonts w:ascii="Times New Roman" w:hAnsi="Times New Roman"/>
          <w:sz w:val="20"/>
        </w:rPr>
      </w:pPr>
      <w:r>
        <w:rPr>
          <w:rFonts w:ascii="Arial" w:hAnsi="Arial"/>
          <w:color w:val="000000"/>
          <w:sz w:val="20"/>
        </w:rPr>
        <w:t>Any of these events could lead to clinical trial delays or failure to obtain regulatory approval, or impact our ability to successfully commercialize future product candidates. Some of these events could be the basis for FDA or EU member state competent authority action, including injunction, recall, seizure or total or partial suspension of product manufacture.</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Any contamination in our manufacturing process, shortages of raw materials or failure of any of our key suppliers to deliver necessary components could result in delays in our research studies, preclinical, and clinical development or marketing schedules.</w:t>
      </w:r>
    </w:p>
    <w:p>
      <w:pPr>
        <w:pStyle w:val="TextBody"/>
        <w:bidi w:val="0"/>
        <w:spacing w:before="240" w:after="283"/>
        <w:jc w:val="both"/>
        <w:rPr>
          <w:rFonts w:ascii="Times New Roman" w:hAnsi="Times New Roman"/>
          <w:sz w:val="20"/>
        </w:rPr>
      </w:pPr>
      <w:r>
        <w:rPr>
          <w:rFonts w:ascii="Arial" w:hAnsi="Arial"/>
          <w:color w:val="000000"/>
          <w:sz w:val="20"/>
        </w:rPr>
        <w:t>Given the nature of biologics manufacturing, there is a risk of contamination during manufacturing. Any contamination could materially harm our ability to produce product candidates on schedule and could harm our results of operations and cause reputational damage.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Some of the raw materials required in our manufacturing process, such as plasmids, are derived from biologic sources. Such raw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depend on third-party suppliers for key raw materials used in our manufacturing processes, and the loss of these third-party suppliers or their inability to supply us with adequate raw materials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rely on third-party suppliers for the raw materials required for the production of our product candidates. Third-party suppliers could increase their prices or be unable to supply us with adequate raw materials, on a timely basis or at all, for a variety of reasons, including potential restrictions on trade or tariffs. Our dependence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interruption in supply of raw materials could materially harm our ability to manufacture our product candidates until a new source of supply, if any, could be identified and qualified. We may be unable to find a sufficient alternative supplier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seriously harm our business.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color w:val="000000"/>
          <w:sz w:val="20"/>
        </w:rPr>
        <w:t>Risks Related to Regulatory Approval and Other Legal Compliance Matters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The regulatory approval processes of the FDA, EMA and comparable foreign regulatory authorities are lengthy, expensive, time consuming, and inherently unpredictable. If we are ultimately unable to obtain regulatory approval for our product candidates, we will be unable to generate product revenue and our business will be substantially harmed.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and any collaborators are not permitted to commercialize, market, promote or sell any product candidate in the United States without obtaining marketing approval from the FDA. Foreign regulatory authorities impose similar requirements. The time required to obtain approval by the FDA and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studies. We have not submitted for or obtained regulatory approval for any product candidate. We and any collaborators must complete additional preclinical or nonclinical studies and clinical trials to demonstrate the safety and efficacy of our product candidates in humans to the satisfaction of the regulatory authorities before we will be able to obtain these approvals, and it is possible that none of our existing product candidates or any product candidates we may seek to develop in the future will ever obtain regulatory approval.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Applications for our product candidates could fail to receive regulatory approval for many reasons, including but not limited to the following: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FDA or comparable foreign regulatory authorities may disagree with the design, implementation or results of our or our collaborators’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FDA or comparable foreign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of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population studied in the clinical program may not be sufficiently broad or representative to assure efficacy and safety in the full population for which we seek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or our collaborators may be unable to demonstrate to the FDA, or comparable foreign regulatory authorities that a product candidate’s clinical and other benefits outweigh its safety risks;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FDA or comparable foreign regulatory authorities may disagree with our or our collaborators’ interpretation of data from preclinical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data collected from clinical trials of our product candidates may not be sufficient to support the submission of a BLA or other submission or to obtain regulatory approval in the United States or elsewhere;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FDA or comparable foreign regulatory authorities may fail to approve the manufacturing processes, test procedures and specifications, or facilities of third-party manufacturers with which we contract for clinical and commercial supplies;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approval policies or regulations of the FDA or comparable foreign regulatory authorities may significantly change in a manner rendering our or our collaborators’ clinical data insufficient for approval.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This lengthy approval process, as well as the unpredictability of the results of clinical trials, may result in our failing to obtain regulatory approval to market any of our product candidates, which would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addition, even if we or our collaborators were to obtain approval, regulatory authorities may approve any of our product candidates for fewer or more limited indications than we request, may impose significant limitations in the form of narrow indications, warnings, or a REMS. Regulatory authorities or other authorities responsible for pricing negotiations may not approve the price we or our collaborators intend to charge for products we may develop,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may attempt to secure approval from the FDA or comparable foreign regulatory authorities through the use of accelerated approval pathways. If we are unable to obtain such approval, we may be required to conduct additional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may in the future seek an accelerated approval for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confirmatory studies to verify and describe the drug’s clinical benefit. If such confirmatory studies fail to confirm the drug’s clinical benefit, or if the sponsor fails to conduct required confirmatory studies in a timely manner, the FDA may withdraw its approval of the drug on an expedited basis. In addition, in December 2022, the Food and Drug Omnibus Reform Act of 2022 provided FDA additional statutory authority to mitigate potential risks to patients from continued marketing of ineffective drugs previously granted accelerated approval. Under these provisions, the FDA may require a sponsor of a product seeking accelerated approval to have a confirmatory trial underway prior to such approval being granted.</w:t>
      </w:r>
    </w:p>
    <w:p>
      <w:pPr>
        <w:pStyle w:val="TextBody"/>
        <w:bidi w:val="0"/>
        <w:spacing w:before="240" w:after="283"/>
        <w:jc w:val="both"/>
        <w:rPr>
          <w:rFonts w:ascii="Times New Roman" w:hAnsi="Times New Roman"/>
          <w:sz w:val="20"/>
        </w:rPr>
      </w:pPr>
      <w:r>
        <w:rPr>
          <w:rFonts w:ascii="Arial" w:hAnsi="Arial"/>
          <w:color w:val="000000"/>
          <w:sz w:val="20"/>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 BLA for accelerated approval or any other form of expedited development, review or approval. Furthermore, if we decide to submit an application for accelerated approval for any of our product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if any, could increase the cost of development of such product candidate and could harm our competitive position in the marketplace.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Even if we or our collaborators obtain regulatory approval for a product candidate, our products will remain subject to regulatory scrutiny.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If one of our product candidates is approved, it will be subject to ongoing regulatory requirements for manufacturing, labeling, packaging, storage, advertising, promotion, sampling, record-keeping, conduct of post-marketing studies, and submission of safety, efficacy, and other post- market information, including both federal and state requirements in the United States and requirements of comparable foreign regulatory authorities.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Manufacturers and manufacturers’ facilities are required to comply with extensive FDA and comparable foreign regulatory authority requirements, including ensuring that quality control and manufacturing procedures conform to cGMP regulations or similar foreign requirements. As such, we and our contract manufacturers will be subject to continual review and inspections to assess compliance with cGMP or similar foreign requirements and adherence to commitments made in any approved marketing application. Accordingly, we and others with whom we work must continue to expend time, money and effort in all areas of regulatory compliance, including manufacturing, production, and quality control.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will have to comply with requirements concerning advertising and promotion for our products. Promotional communications with respect to prescription drugs and biologics are subject to a variety of legal and regulatory restrictions and must be consistent with the information in the product’s approved label. As such, we may not promote our products “off-label” for indications or uses for which they do not have approval, though we may share truthful and not misleading information that is otherwise consistent with our product’s approved labeling. The holder of an approved application must submit new or supplemental applications and obtain approval for certain changes to the approved product, product labeling, or manufacturing process. We could also be asked to conduct post-marketing clinical studies to verify the safety and efficacy of our products in general or in specific patient subsets. An unsuccessful post-marketing study or failure to complete such a study could result in the withdrawal of marketing approval or label restrictions.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things: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issue warning letters;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impose civil or criminal penalties;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suspend or withdraw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suspend any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refuse to approve pending applications or supplements to approved applications submitted by us;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impose restrictions on our operations, including closing our manufacturing facility or our contract manufacturers’ facilities; or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seize or detain products, or require a product recall. </w:t>
      </w:r>
    </w:p>
    <w:p>
      <w:pPr>
        <w:pStyle w:val="TextBody"/>
        <w:bidi w:val="0"/>
        <w:spacing w:before="240" w:after="283"/>
        <w:jc w:val="both"/>
        <w:rPr>
          <w:rFonts w:ascii="Times New Roman" w:hAnsi="Times New Roman"/>
          <w:sz w:val="20"/>
        </w:rPr>
      </w:pPr>
      <w:r>
        <w:rPr>
          <w:rFonts w:ascii="Arial" w:hAnsi="Arial"/>
          <w:color w:val="000000"/>
          <w:sz w:val="20"/>
        </w:rPr>
        <w:t>Any government investigation of alleged violations of law could require us to expend significant time and resources in response and could generate negative publicity. Any failure to comply with ongoing regulatory requirements may adversely affect our ability to commercialize and generate revenue from our products. If regulatory sanctions are applied or if regulatory approval is withdrawn, our business will be seriously harmed.</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Moreover, 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have received orphan drug designation for 4D-710 for cystic fibrosis, and we may seek orphan drug designation for certain future product candidates. However, we may be unable to obtain such designations or to maintain the benefits associated with orphan drug designation, including market exclusivity, which may cause our revenue, if any, to be reduced.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have received orphan drug designation in the United States for 4D-710 for the treatment of cystic fibrosis. Although we may seek orphan product designation for some or all of our other product candidates, we may never receive such designations. Under the Orphan Drug Act, the FDA may designate a drug or biologic product as an orphan drug if it is intended to treat a rare disease or condition, defined as a patient population of fewer than 200,000 in the United States, or a patient population greater than 200,000 in the United States where there is no reasonable expectation that the cost of developing the drug will be recovered from sales in the United States. Orphan drug designation must be requested before submitting a BLA. Orphan designation is granted by the European Commission (“EC”) based on a scientific opinion of the EMA’s Committee for Orphan Medicinal Products (“COMP”). A medicinal product may be designated as orphan if its sponsor can establish that (i) the product is intended for the diagnosis, prevention, or treatment of a life-threatening or chronically debilitating condition; (ii) either (a) such condition affects no more than five in 10,000 persons in the EU when the application is made, or (b) the product, without the benefits derived from orphan status, would not generate sufficient return in the EU to justify investment; and (iii) there exists no satisfactory method of diagnosis, prevention or treatment of such condition authorized for marketing in the EU, or if such a method exists, the medicinal product will be of significant benefit to those affected by the condition. The application for orphan designation must be submitted before the application for marketing authorization.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the United States, orphan drug designation entitles a party to financial incentives such as opportunities for grant funding towards clinical trial costs, tax advantages, and application fee waivers. After the FDA grants orphan drug designation, the generic identity of the drug and its potential orphan use are disclosed publicly by the FDA.</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In addition, if a product receives the first FDA approval for the disease or condition for which it has orphan designation, the product is entitled to orphan drug exclusivity, which means the FDA may not approve any other application to market the same drug for the same approved use or indication within such rare disease or condition for a period of seven years, except in limited circumstances, such as a showing of clinical superiority over the product with orphan exclusivity or where the manufacturer is unable to assure sufficient product quantity for the orphan patient population. Exclusive marketing rights in the United States may also be unavailable if we or our collaborators seek approval for a disease or condition broader than the orphan designated disease or condition and may be lost if the FDA later determines that the request for designation was materially defective. In the EU, orphan designation entitles a party to financial incentives such as reduction of fees, fee waivers, protocol assistance, and access to the centralized marketing authorization procedure. Moreover, upon grant of a marketing authorization and assuming the requirement for orphan designation are also met at the time the marketing authorization is granted, orphan medicinal products are entitled to a ten-year period of market exclusivity for the approved therapeutic indication. The period of market exclusivity is extended by two years for orphan medicinal products that have also complied with an agreed Pediatric Investigation Plan (“PIP”). The European exclusivity period can be reduced to six years, if, at the end of the fifth year a medicine no longer meets the criteria for orphan designation (i.e. the prevalence of the condition has increased above the orphan designation threshold or it is judged that the product is sufficiently profitable so as not to justify maintenance of market exclusivity).</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Even if we obtain orphan drug designation, we may not be the first to obtain marketing approval for any particular orphan indication due to the uncertainties associated with developing pharmaceutical products. Further, even if we obtain orphan drug exclusivity for a product candidate, that exclusivity may not effectively protect the product from competition because different drugs can be approved for the same uses or indications within the same rare disease or</w:t>
      </w:r>
      <w:r>
        <w:rPr>
          <w:rFonts w:ascii="Times New Roman" w:hAnsi="Times New Roman"/>
          <w:color w:val="0078D4"/>
          <w:sz w:val="20"/>
        </w:rPr>
        <w:t xml:space="preserve"> </w:t>
      </w:r>
      <w:r>
        <w:rPr>
          <w:rFonts w:ascii="Arial" w:hAnsi="Arial"/>
          <w:color w:val="000000"/>
          <w:sz w:val="20"/>
        </w:rPr>
        <w:t>condition. Even after an orphan drug is approved, the FDA and foreign regulatory authorities can subsequently approve the same drug for the same approved use or indication within the same rare disease or condition if the FDA or foreign regulatory authorities concludes that the later drug is clinically superior in that it is safer, more effective, or makes a major contribution to patient care. Orphan drug designation neither shortens the development time or regulatory review time of a drug or biologic nor gives the drug or biologic any advantage in the regulatory review or approval process.</w:t>
      </w:r>
    </w:p>
    <w:p>
      <w:pPr>
        <w:pStyle w:val="TextBody"/>
        <w:bidi w:val="0"/>
        <w:spacing w:before="240" w:after="283"/>
        <w:jc w:val="both"/>
        <w:rPr>
          <w:rFonts w:ascii="Arial" w:hAnsi="Arial"/>
          <w:b/>
          <w:i/>
          <w:color w:val="000000"/>
          <w:sz w:val="20"/>
        </w:rPr>
      </w:pPr>
      <w:r>
        <w:rPr>
          <w:rFonts w:ascii="Arial" w:hAnsi="Arial"/>
          <w:b/>
          <w:i/>
          <w:color w:val="000000"/>
          <w:sz w:val="20"/>
        </w:rPr>
        <w:t>We have received Regenerative Medicine Advanced Therapy ("RMAT") and PRIority MEdicine ("PRIME") designation for 4D-150 for the treatment of wet AMD and RMAT designation for 4D-150 for treatment of DME. We may seek RMAT and PRIME designations for certain future product candidates, however we may not be able to obtain such designations, and there is no guarantee that 4D-150 will experience a faster regulatory review or obtain regulatory approval.</w:t>
      </w:r>
    </w:p>
    <w:p>
      <w:pPr>
        <w:pStyle w:val="TextBody"/>
        <w:bidi w:val="0"/>
        <w:spacing w:before="240" w:after="283"/>
        <w:jc w:val="both"/>
        <w:rPr>
          <w:rFonts w:ascii="Arial" w:hAnsi="Arial"/>
          <w:color w:val="000000"/>
          <w:sz w:val="20"/>
        </w:rPr>
      </w:pPr>
      <w:r>
        <w:rPr>
          <w:rFonts w:ascii="Arial" w:hAnsi="Arial"/>
          <w:color w:val="000000"/>
          <w:sz w:val="20"/>
        </w:rPr>
        <w:t>The FDA has granted RMAT designation for 4D-150 for the treatment of neovascular (wet) age-related macular degeneration and diabetic macular edema, and may seek additional RMAT designations for 4D-150 or for our other product candidates. A biological product candidate is eligible for RMAT designation if: (1) it meets the definition of a regenerative medicine therapy, which the FDA defines as a cell therapy, therapeutic tissue engineering product, human cell and tissue product, or any combination product using such therapies or products, with limited exceptions; (2) the candidate is intended to treat, modify, reverse, or cure a serious disease or condition; and (3) preliminary clinical evidence indicates that the candidate has the potential to address unmet medical needs for such disease or condition. RMAT designation provides potential benefits that include more frequent meetings with FDA to discuss the development plan for the product candidate, and eligibility for rolling review and priority review of BLAs. Product candidates granted RMAT designation may also be eligible for accelerated approval on the basis of a surrogate or intermediate endpoint reasonably likely to predict long-term clinical benefit, or through reliance upon data obtained from a meaningful number of sites, including through expansion of clinical trials to a sufficient number of sites, as appropriate. RMAT-designated product candidates that receive accelerated approval may, as appropriate, be able to fulfill their post-approval requirements through the submission of clinical evidence, clinical studies, patient registries, or other sources of real-world evidence (such as electronic health records), through the collection of larger confirmatory data sets, or via post-approval monitoring of patients treated with the therapy prior to approval.</w:t>
      </w:r>
    </w:p>
    <w:p>
      <w:pPr>
        <w:pStyle w:val="TextBody"/>
        <w:bidi w:val="0"/>
        <w:spacing w:before="240" w:after="283"/>
        <w:jc w:val="both"/>
        <w:rPr>
          <w:rFonts w:ascii="Times New Roman" w:hAnsi="Times New Roman"/>
          <w:sz w:val="20"/>
        </w:rPr>
      </w:pPr>
      <w:r>
        <w:rPr>
          <w:rFonts w:ascii="Arial" w:hAnsi="Arial"/>
          <w:color w:val="000000"/>
          <w:sz w:val="20"/>
        </w:rPr>
        <w:t>RMAT designation is within the sole discretion of the FDA. Accordingly, even if we believe one of our product candidates meets the criteria for RMAT designation, the FDA may disagree and instead determine not to make such designation. RMAT designation does not change the standards for product approval, and there is no assurance that such designation or eligibility for such designation will result in expedited review or approval, or that the approved indication will not be narrower than the indication covered by the RMAT designation.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the EU, 4D-150 was accepted into the PRIME scheme by the EMA’s Committee for Medicinal Products for Human Use (“CHMP”) for the treatment of wet AMD. In the EU, innovative products that target an unmet medical need and are expected to be of major public health interest may be eligible for a number of expedited development and review programs, such as the PRIME scheme, which was launched by the EMA in 2016 and provides incentives similar to the Breakthrough Therapy designation in the United States. PRIME is a voluntary scheme aimed at enhancing the EMA’s support for the development of medicines that target an unmet medical need. It is based on increased interaction and early dialogue with companies developing promising medicines, to optimize their product development plans and speed up their evaluation to help them reach patients earlier. The benefits of a PRIME designation include the appointment of a rapporteur before submission of a marketing authorization application, early dialogue and scientific advice at key development milestones, and the potential to qualify products for accelerated review earlier in the application process.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Product developers that benefit from PRIME designation may be eligible for accelerated assessment (in 150 days instead of 210 days), which may be granted for medicinal products of major interest from a public health perspective or that target an unmet medical need, but this is not guaranteed.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Receipt of these designations does not increase the likelihood that FDA or EC will approve 4D-150 for any indication. In addition, the FDA or foreign competent authorities may rescind the designations if they believe that the designation is no longer supported by data from our clinical development program.</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We have obtained a rare pediatric disease designation for 4D-710, however, there is no guarantee that FDA approval of 4D-710 will result in issuance of a priority review voucher.</w:t>
      </w:r>
    </w:p>
    <w:p>
      <w:pPr>
        <w:pStyle w:val="TextBody"/>
        <w:bidi w:val="0"/>
        <w:spacing w:before="240" w:after="283"/>
        <w:jc w:val="both"/>
        <w:rPr>
          <w:rFonts w:ascii="Times New Roman" w:hAnsi="Times New Roman"/>
          <w:sz w:val="20"/>
        </w:rPr>
      </w:pPr>
      <w:r>
        <w:rPr>
          <w:rFonts w:ascii="Arial" w:hAnsi="Arial"/>
          <w:color w:val="000000"/>
          <w:sz w:val="20"/>
        </w:rPr>
        <w:t>In 2012, Congress authorized the FDA to award priority review vouchers to sponsors of certain rare pediatric disease product applications. This program is designed to encourage development of new drug and biological products for prevention and treatment of certain rare pediatric diseases. Specifically, under this program, a sponsor who receives an approval for a drug or biologic for a “rare pediatric disease” that meets certain criteria may qualify for a voucher that can be redeemed to receive a priority review of a subsequent marketing application for a different product. The sponsor of a rare pediatric disease drug product receiving a priority review voucher may transfer (including by sale) the voucher to another sponsor. The voucher may be further transferred any number of times before the voucher is used, as long as the sponsor making the transfer has not yet submitted the application. The FDA may also revoke any priority review voucher if the rare pediatric disease drug for which the voucher was awarded is not marketed in the U.S. within one year following the date of approval.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have obtained a rare pediatric disease designation for 4D-710 for the treatment of cystic fibrosis, however, there is no guarantee that we will be able to obtain a priority review voucher, even if 4D-710 is approved by the FDA for this indication. For example, the FDA may determine that a BLA, even if ultimately approved, does not meet the eligibility criteria for a priority review voucher, including for the following reasons:</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product no longer meets the definition of a rare pediatric disease;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product contains an active ingredient (including any ester or salt of the active ingredient) that has been previously approved in another marketing application;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application does not rely on clinical data derived from studies examining a pediatric population and dosages of the drug intended for that population;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application is approved for a different adult indication than the rare pediatric disease for which the product is designated</w:t>
      </w:r>
    </w:p>
    <w:p>
      <w:pPr>
        <w:pStyle w:val="TextBody"/>
        <w:bidi w:val="0"/>
        <w:spacing w:before="240" w:after="283"/>
        <w:jc w:val="both"/>
        <w:rPr>
          <w:rFonts w:ascii="Arial" w:hAnsi="Arial"/>
          <w:color w:val="000000"/>
          <w:sz w:val="20"/>
        </w:rPr>
      </w:pPr>
      <w:r>
        <w:rPr>
          <w:rFonts w:ascii="Arial" w:hAnsi="Arial"/>
          <w:color w:val="000000"/>
          <w:sz w:val="20"/>
        </w:rPr>
        <w:t>Moreover, Congress included a sunset provision in the statute authorizing the rare pediatric disease priority review voucher program. Under the current statutory sunset provisions, FDA may only award a voucher for an approved rare pediatric disease product application if the sponsor has rare pediatric disease designation for the product candidate, and the product candidate is approved within the designated rare pediatric disease by September 30, 2029. After September 30, 2029, FDA may not award vouchers under the program, regardless of any designation.</w:t>
      </w:r>
    </w:p>
    <w:p>
      <w:pPr>
        <w:pStyle w:val="TextBody"/>
        <w:bidi w:val="0"/>
        <w:spacing w:before="240" w:after="283"/>
        <w:jc w:val="both"/>
        <w:rPr>
          <w:rFonts w:ascii="Times New Roman" w:hAnsi="Times New Roman"/>
          <w:sz w:val="20"/>
        </w:rPr>
      </w:pPr>
      <w:r>
        <w:rPr>
          <w:rFonts w:ascii="Arial" w:hAnsi="Arial"/>
          <w:b/>
          <w:i/>
          <w:color w:val="000000"/>
          <w:sz w:val="20"/>
        </w:rPr>
        <w:t>If the product candidates that we or our collaborators may develop receive regulatory approval in the United States or another jurisdiction, they may never receive approval in other jurisdictions, which would limit market opportunities for such product candidates and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Approval of a product candidate in the United States by the FDA or by the requisite regulatory agencies in any other jurisdiction does not ensure approval of such product candidate by regulatory authorities in other countries or jurisdictions. The approval process varies among countries and may limit our or our collaborators’ ability to develop, manufacture, promote and sell product candidates internationally. Failure to obtain marketing approval in international jurisdictions would prevent the product</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candidates from being marketed outside of the jurisdictions in which regulatory approvals have been received. In order to market and sell product candidates in the EU and many other jurisdictions, we and our collaborators must obtain separate marketing approvals and comply with numerous and varying regulatory requirements. The approval procedure varies among countries and may involve additional preclinical studies or clinical trials both before and after approval. In many countries, any product candidate for human use must be approved for reimbursement before it can be approved for sale in that country. In some cases, the intended price for such product is also subject to approval. Further, while regulatory approval of a product candidate in one country does not ensure approval in any other country, a failure or delay in obtaining regulatory approval in one country may have a negative effect on the regulatory approval process in others. If we or our collaborators fail to comply with the regulatory requirements in international markets or to obtain all required marketing approvals, the target market for a particular potential product will be reduced, which would limit our ability to realize the full market potential for the product and seriously harm our business.</w:t>
      </w:r>
    </w:p>
    <w:p>
      <w:pPr>
        <w:pStyle w:val="TextBody"/>
        <w:bidi w:val="0"/>
        <w:spacing w:before="240" w:after="283"/>
        <w:jc w:val="both"/>
        <w:rPr>
          <w:rFonts w:ascii="Times New Roman" w:hAnsi="Times New Roman"/>
          <w:sz w:val="20"/>
        </w:rPr>
      </w:pPr>
      <w:r>
        <w:rPr>
          <w:rFonts w:ascii="Arial" w:hAnsi="Arial"/>
          <w:b/>
          <w:i/>
          <w:color w:val="000000"/>
          <w:sz w:val="20"/>
        </w:rPr>
        <w:t>Enacted and future healthcare legislation or regulation may increase the difficulty and cost for us to obtain marketing approval of and to commercialize our product candidates and may affect the prices we may set.</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In the United States, the EU and other jurisdictions, there have been, and we expect there will continue to be, a number of legislative and regulatory changes and proposed changes to the healthcare system that could, among other things, restrict our ability to profitably sell our product candidates and could affect our future results of operations. In particular, there have been and continue to be a number of initiatives at the U.S. federal and state levels that seek to reduce healthcare costs and improve the quality of healthcare with the stated goals of containing healthcare costs, improving quality and/or expanding access. In the United States and elsewhere, the pharmaceutical industry has been a particular focus of these efforts and has been significantly affected by major legislative and regulatory initiatives. We expect that current laws, as well as other healthcare reform measures that may be adopted in the future, may result in more rigorous coverage criteria and in additional downward pressure on the price that we may receive for any product candidates approved for sale. New and changing laws and regulations may also create uncertainty about how such laws and regulations will be interpreted and applied. If we are found to have violated laws and regulations, it could materially adversely affect our business, results of operations and financial condition.</w:t>
      </w:r>
    </w:p>
    <w:p>
      <w:pPr>
        <w:pStyle w:val="TextBody"/>
        <w:bidi w:val="0"/>
        <w:spacing w:before="240" w:after="283"/>
        <w:jc w:val="both"/>
        <w:rPr>
          <w:rFonts w:ascii="Times New Roman" w:hAnsi="Times New Roman"/>
          <w:sz w:val="20"/>
        </w:rPr>
      </w:pPr>
      <w:r>
        <w:rPr>
          <w:rFonts w:ascii="Arial" w:hAnsi="Arial"/>
          <w:color w:val="000000"/>
          <w:sz w:val="20"/>
        </w:rPr>
        <w:t>For example, in 2010, the Patient Protection and Affordable Care Act (the “ACA”) was enacted, which substantially changed the way healthcare is financed by both governmental and private payors. Among the provisions of the ACA of importance to our business, including, without limitation, our ability to commercialize and to obtain adequate prices for any product candidates approved for sale, are the following:</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expansion of manufacturers’ rebate liability under the Medicaid Drug Rebate Program by increasing the minimum rebate for both branded and generic drugs, revising the “average manufacturer price” definition, and extending rebate liability from fee-for-service Medicaid utilization to include the utilization of Medicaid managed care organizations as well;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establishment of a Center for Medicare &amp; Medicaid Innovation (“CMMI”) at the Centers for Medicare &amp; Medicaid Services (“CMS”) to test innovative payment and service delivery models to lower Medicare and Medicaid spending, potentially including prescription drug spending. </w:t>
      </w:r>
    </w:p>
    <w:p>
      <w:pPr>
        <w:pStyle w:val="TextBody"/>
        <w:bidi w:val="0"/>
        <w:spacing w:before="240" w:after="283"/>
        <w:jc w:val="both"/>
        <w:rPr>
          <w:rFonts w:ascii="Times New Roman" w:hAnsi="Times New Roman"/>
          <w:sz w:val="20"/>
        </w:rPr>
      </w:pPr>
      <w:r>
        <w:rPr>
          <w:rFonts w:ascii="Arial" w:hAnsi="Arial"/>
          <w:color w:val="000000"/>
          <w:sz w:val="20"/>
        </w:rPr>
        <w:t>Since its enactment, there have been judicial, U.S. Congressional and executive branch challenges to certain aspects of the ACA. On June 17, 2021, the U.S. Supreme Court dismissed the most recent judicial challenge to the ACA brought by several states without specifically ruling on the constitutionality of the ACA.</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In addition, other legislative changes have been proposed and adopted in the United States since the ACA was enacted. In August 2011, the Budget Control Act of 2011, among other things, led to aggregate reductions of Medicare payments to providers.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Additionally, on March 11, 2021, the American Rescue Plan Act of 2021 was signed into law, which eliminated the statutory cap on drug manufacturers’ Medicaid drug rebate program liability for single source and innovator multiple source drugs, beginning January 1, 2024. The rebate was previously capped at 100% of a drug’s average manufacturer price.</w:t>
      </w:r>
    </w:p>
    <w:p>
      <w:pPr>
        <w:pStyle w:val="TextBody"/>
        <w:bidi w:val="0"/>
        <w:spacing w:before="240" w:after="283"/>
        <w:jc w:val="both"/>
        <w:rPr>
          <w:rFonts w:ascii="Arial" w:hAnsi="Arial"/>
          <w:color w:val="000000"/>
          <w:sz w:val="20"/>
        </w:rPr>
      </w:pPr>
      <w:r>
        <w:rPr>
          <w:rFonts w:ascii="Arial" w:hAnsi="Arial"/>
          <w:color w:val="000000"/>
          <w:sz w:val="20"/>
        </w:rPr>
        <w:t>In 2022, the Inflation Reduction Act of 2022 (“IRA”) was signed into law. Among other things, the IRA requires manufacturers of certain drugs to engage in price negotiations with Medicare, with prices that can be negotiated subject to a cap; imposes rebates under Medicare Part B and Medicare Part D to penalize price increases that outpace inflation (first due in 2023); redesigns the Medicare Part D benefit (beginning in 2024); and replaces the Part D coverage gap discount program with a new manufacturer discount program (beginning in 2025). CMS has published the negotiated prices for the initial ten drugs, which went into effect in 2026, and the subsequent 15 drugs, which will first be effective in 2027, as well as the next set of 15 drugs that will be subject to negotiation. The IRA permits the Secretary of the Department of Health and Human Services (“HHS”) to implement many of these provisions through guidance, as opposed to regulation, for the initial years. HHS has and will continue to issue and update guidance as these programs are implemented, although the Medicare drug price negotiation program is currently subject to legal challenges. The impact of the IRA on us and the pharmaceutical industry cannot yet be fully determined, but is likely to be significant.</w:t>
      </w:r>
    </w:p>
    <w:p>
      <w:pPr>
        <w:pStyle w:val="TextBody"/>
        <w:bidi w:val="0"/>
        <w:spacing w:before="240" w:after="283"/>
        <w:jc w:val="both"/>
        <w:rPr>
          <w:rFonts w:ascii="Arial" w:hAnsi="Arial"/>
          <w:color w:val="000000"/>
          <w:sz w:val="20"/>
        </w:rPr>
      </w:pPr>
      <w:r>
        <w:rPr>
          <w:rFonts w:ascii="Arial" w:hAnsi="Arial"/>
          <w:color w:val="000000"/>
          <w:sz w:val="20"/>
        </w:rPr>
        <w:t>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our sales of any other product candidate that we commercialize.</w:t>
      </w:r>
    </w:p>
    <w:p>
      <w:pPr>
        <w:pStyle w:val="TextBody"/>
        <w:bidi w:val="0"/>
        <w:spacing w:before="240" w:after="240"/>
        <w:jc w:val="both"/>
        <w:rPr>
          <w:rFonts w:ascii="Arial" w:hAnsi="Arial"/>
          <w:color w:val="000000"/>
          <w:sz w:val="20"/>
        </w:rPr>
      </w:pPr>
      <w:r>
        <w:rPr>
          <w:rFonts w:ascii="Arial" w:hAnsi="Arial"/>
          <w:color w:val="000000"/>
          <w:sz w:val="20"/>
        </w:rPr>
        <w:t>The Trump administration is pursuing a two-fold strategy to reduce drug costs in the U.S. While it is unclear whether and how the Trump administration’s proposals will be implemented, the Trump administration’s policies are likely to have a negative impact on the pharmaceutical industry and on our ability to receive adequate revenues for our product candidates, if approved. On the one hand, the Trump administration has threatened to impose significant tariffs on pharmaceutical manufacturers that do not adopt pricing policies such as most favored nation pricing, which would tie the price for drugs in the U.S. to the lowest price in a group of other countries. In response, multiple manufacturers have reportedly entered into confidential pricing agreements with the federal government. On the other hand, the Trump administration is pursuing traditional regulatory pathways to impose drug pricing policies, although final regulations have not yet been published. Even regulatory proposals or executive actions that are ultimately deemed unlawful could negatively impact the U.S. pharmaceutical sector and our business. In addition, pharmaceutical pricing and marketing has long been the subject of considerable discussion in Congress and among policymakers, and it is possible that Congress could enact additional laws that negatively affect the pharmaceutical industry.</w:t>
      </w:r>
    </w:p>
    <w:p>
      <w:pPr>
        <w:pStyle w:val="TextBody"/>
        <w:bidi w:val="0"/>
        <w:jc w:val="both"/>
        <w:rPr>
          <w:rFonts w:ascii="Times New Roman" w:hAnsi="Times New Roman"/>
          <w:sz w:val="20"/>
        </w:rPr>
      </w:pPr>
      <w:r>
        <w:rPr>
          <w:rFonts w:ascii="Arial" w:hAnsi="Arial"/>
          <w:color w:val="000000"/>
          <w:sz w:val="20"/>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assistance programs. We also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 and could seriously harm our business.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drug price reporting and other transparency measures. Some states have enacted legislation creating so-called prescription drug affordability boards, which ultimately may attempt to impose price limits on certain drugs in these states, while some states are also seeking to implement general, across the board price caps for pharmaceuticals, or are seeking to regulate drug distribution. Some measures are designed to encourage importation from other countries. Legally mandated price controls on payment amounts by third-party payors or other restrictions could seriously harm our business.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 Furthermore, there has been increased interest by third-party payors and governmental authorities in reference pricing systems and publication of discounts and list prices. Prescription drugs and biological products that are in violation of these requirements will be included on a public list. These reforms could reduce the ultimate demand for our product candidates or put pressure on our product pricing and could seriously harm our business.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expect that these and other healthcare reform measures that may be adopted in the future may result in more rigorous coverage and payment criteria and in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 We cannot predict with certainty what impact any federal or state health reforms will have on us, but such changes could impose new or more stringent regulatory requirements on our activities or result in reduced reimbursement for our products, any of which could adversely affect our business, results of operations and financial condition.</w:t>
      </w:r>
    </w:p>
    <w:p>
      <w:pPr>
        <w:pStyle w:val="TextBody"/>
        <w:bidi w:val="0"/>
        <w:spacing w:before="240" w:after="283"/>
        <w:jc w:val="both"/>
        <w:rPr>
          <w:rFonts w:ascii="Times New Roman" w:hAnsi="Times New Roman"/>
          <w:sz w:val="20"/>
        </w:rPr>
      </w:pPr>
      <w:r>
        <w:rPr>
          <w:rFonts w:ascii="Arial" w:hAnsi="Arial"/>
          <w:color w:val="000000"/>
          <w:sz w:val="20"/>
        </w:rPr>
        <w:t>In the EU, similar political, economic and regulatory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 In markets outside of the United States and EU, reimbursement and healthcare payment systems vary significantly by country, and many countries have instituted price ceilings on specific products and therapies.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cannot predict the likelihood, nature or extent of government regulation that may arise from future legislation or administrative or judicial action in the United States, the EU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i/>
          <w:color w:val="000000"/>
          <w:sz w:val="20"/>
        </w:rPr>
      </w:pPr>
      <w:r>
        <w:rPr>
          <w:rFonts w:ascii="Arial" w:hAnsi="Arial"/>
          <w:b/>
          <w:i/>
          <w:color w:val="000000"/>
          <w:sz w:val="20"/>
        </w:rPr>
        <w:t>The successful commercialization of any product candidates for which we obtain approval will depend in part on the extent to which governmental authorities, private health insurers, and other third-party payors provide coverage and adequate reimbursement. Failure to obtain or maintain coverage and adequate reimbursement for our product candidates, if any and if approved, could limit our ability to market those products and decrease our ability to generate revenue.</w:t>
      </w:r>
    </w:p>
    <w:p>
      <w:pPr>
        <w:pStyle w:val="TextBody"/>
        <w:bidi w:val="0"/>
        <w:spacing w:before="240" w:after="283"/>
        <w:jc w:val="both"/>
        <w:rPr>
          <w:rFonts w:ascii="Times New Roman" w:hAnsi="Times New Roman"/>
          <w:sz w:val="20"/>
        </w:rPr>
      </w:pPr>
      <w:r>
        <w:rPr>
          <w:rFonts w:ascii="Arial" w:hAnsi="Arial"/>
          <w:color w:val="000000"/>
          <w:sz w:val="20"/>
        </w:rPr>
        <w:t>Our ability to successfully commercialize any products that we may develop also will depend in part on the extent to which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regulations that govern marketing approvals, pricing and reimbursement for new drugs vary widely from country to country.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pStyle w:val="TextBody"/>
        <w:bidi w:val="0"/>
        <w:spacing w:before="240" w:after="283"/>
        <w:jc w:val="both"/>
        <w:rPr>
          <w:rFonts w:ascii="Arial" w:hAnsi="Arial"/>
          <w:color w:val="000000"/>
          <w:sz w:val="20"/>
        </w:rPr>
      </w:pPr>
      <w:r>
        <w:rPr>
          <w:rFonts w:ascii="Arial" w:hAnsi="Arial"/>
          <w:color w:val="000000"/>
          <w:sz w:val="20"/>
        </w:rPr>
        <w:t>A primary trend in the U.S. healthcare industry and elsewhere is cost containment. Government authorities and other third-party payors have attempted to control costs by limiting coverage and the amount of reimbursement for particular medications. Government authorities currently impose mandatory discounts for certain patient groups, such as Medicare, Medicaid and Veterans Affairs (“VA”) hospitals, and may seek to increase such discounts at any time. Future regulation may negatively impact the price of our products, if approved. Increasingly, other third-party payors are requiring that drug companies provide them with predetermined discounts from list prices and are challenging the prices charged for medical products. For genetic medicine and other products administered under the supervision of a physician, obtaining coverage and adequate reimbursement may be particularly difficult because of the higher prices often associated with such drugs. We cannot be sure that reimbursement will be available for any product candidate that we commercialize and, if reimbursement is available, that the level of reimbursement will be sufficient.</w:t>
      </w:r>
    </w:p>
    <w:p>
      <w:pPr>
        <w:pStyle w:val="TextBody"/>
        <w:bidi w:val="0"/>
        <w:spacing w:before="240" w:after="283"/>
        <w:jc w:val="both"/>
        <w:rPr>
          <w:rFonts w:ascii="Times New Roman" w:hAnsi="Times New Roman"/>
          <w:sz w:val="20"/>
        </w:rPr>
      </w:pPr>
      <w:r>
        <w:rPr>
          <w:rFonts w:ascii="Arial" w:hAnsi="Arial"/>
          <w:color w:val="000000"/>
          <w:sz w:val="20"/>
        </w:rPr>
        <w:t>Reimbursement may impact the demand for, or the price of, any product candidate for which we obtain marketing approval. In order to obtain reimbursement, physicians may need to show that patients have superior treatment outcomes with our products compared to standard of care drugs, including lower-priced generic versions of standard of care drugs. If reimbursement is not available or is available only at limited levels, we may not be able to successfully commercialize any product candidate for which we obtain marketing approval. In the United States,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There may be significant delays in obtaining reimbursement for newly approved drugs, and coverage may be more limited than the purposes for which the medicine is approved by the FDA, EMA or other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profitable payment rates from both government-funded and private payors for any approved products we may develop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Even if we obtain FDA approval for any of our product candidates, we may never obtain approval or commercialize such products outside of the United States, which would limit our ability to realize their full market potential.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order to market any products outside of the United States, we must establish and comply with numerous and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ability to realize the full market potential of our products will be harmed.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currently have no sales organization. If we are unable to establish sales capabilities on our own or through third parties, we may not be able to market and sell any products effectively, if approved, or generate product revenue.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currently do not have a marketing or sales organization. In order to commercialize any product, if approved, in the United States and foreign jurisdictions, we must build our marketing, sales, distribution, managerial and other non-technical capabilities or make arrangements with third parties to perform these services, and we may not be successful in doing so. In advance of any of our product candidates receiving regulatory approval, we expect to establish a sales organization with technical expertise and supporting distribution capabilities to commercialize each such product candidate, which will be expensive and time-consuming. We have no prior experience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choose to collaborate with third parties that have direct sales forces and established distribution systems, either to augment our own sales force and distribution systems or in lieu of our own sales force and distribution systems. If we are unable to enter into such arrangements on acceptable terms or at all, we may not be able to successfully commercialize our product candidates. If we are not successful in commercializing products, either on our own or through arrangements with one or more third parties, we may not be able to generate any future product revenue and we would incur significant additional losses and our business would be seriously harmed.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Our business operations and current and future relationships with investigators, healthcare professionals, consultants, third-party payors, patient organizations and customers will be subject</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to applicable healthcare regulatory laws, which could expose us to penalties and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Such laws include: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any U.S. federal healthcare program, such as Medicare and Medicaid. A person or entity does not need to have actual knowledge of the statute or specific intent to violate it in order to have committed a violation;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color w:val="000000"/>
          <w:sz w:val="20"/>
        </w:rPr>
        <w:t xml:space="preserve">the U.S. federal civil and criminal false claims and civil monetary penalties laws, including the civil federal False Claims Act, which can be enforced through civil whistleblower or </w:t>
      </w:r>
      <w:r>
        <w:rPr>
          <w:rFonts w:ascii="Arial" w:hAnsi="Arial"/>
          <w:i/>
          <w:color w:val="000000"/>
          <w:sz w:val="20"/>
        </w:rPr>
        <w:t xml:space="preserve">qui tam </w:t>
      </w:r>
      <w:r>
        <w:rPr>
          <w:rFonts w:ascii="Arial" w:hAnsi="Arial"/>
          <w:color w:val="000000"/>
          <w:sz w:val="20"/>
        </w:rPr>
        <w:t xml:space="preserve">actions, which prohibit, among other things, individuals or entities from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Pharmaceutical manufacturers can cause false claims to be presented to the U.S. federal government by engaging in impermissible marketing practices, such as the off-label promotion of a product for an indication for which it has not received FDA approval. In addition, the government may assert that a claim including items and services resulting from a violation of the U.S. federal Anti-Kickback Statute constitutes a false or fraudulent claim for purposes of the civil False Claims Act;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healthcare fraud statute implemented under HIPAA or specific intent to violate it in order to have committed a violation;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FDCA, which prohibits, among other things, the adulteration or misbranding of drugs, biologics and medical devices;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U.S. Public Health Service Act, which prohibits, among other things, the introduction into interstate commerce of a biological product unless a biologics license is in effect for that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U.S. Physician Payments Sunshine Act and its implementing regulations, which require certain manufacturers of drugs, devices, biologics and medical supplies that are reimbursable under Medicare, Medicaid, or the Children’s Health Insurance Program, with specific exceptions, to report annually to CMS information related to certain payments and other transfers of value to physicians (as defined by statute), certain other non-physician practitioners (including physician assistants, nurse practitioners, clinical nurse specialists, certified nurse anesthetists, anesthesiology assistants, and certified nurse midwives) and teaching hospitals, as well as ownership and investment interests held by physicians and their immediate family members;</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analogous 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and state and local laws requiring the registration of pharmaceutical sales representatives;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similar healthcare laws in the EU and other jurisdictions, including reporting requirements detailing interactions with and payments to healthcare providers. </w:t>
      </w:r>
    </w:p>
    <w:p>
      <w:pPr>
        <w:pStyle w:val="TextBody"/>
        <w:bidi w:val="0"/>
        <w:spacing w:before="240" w:after="283"/>
        <w:jc w:val="both"/>
        <w:rPr>
          <w:rFonts w:ascii="Times New Roman" w:hAnsi="Times New Roman"/>
          <w:sz w:val="20"/>
        </w:rPr>
      </w:pPr>
      <w:r>
        <w:rPr>
          <w:rFonts w:ascii="Arial" w:hAnsi="Arial"/>
          <w:color w:val="000000"/>
          <w:sz w:val="20"/>
        </w:rPr>
        <w:t>We may also be subject to additional federal laws, such as the U.S. Foreign Corrupt Practices Act of 1977, as amended, which prohibits,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 and federal consumer protection and unfair competition laws, which broadly regulate marketplace activities and activities that potentially harm consumers.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Ensuring that our internal operations and future business arrangements with third parties comply with applicable healthcare laws and regulations will involve substantial costs. It is possible that governmental authorities will conclude that our business practices, including certain of our advisory board arrangements with physicians, some of whom are compensated in the form of stock or stock options,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use and generate materials that may expose us to material liability.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research programs involve the use of hazardous materials and chemicals. We are subject to foreign, federal, state and local environmental and health and safety laws and regulations governing, among other matters, the use, manufacture, handling, storage and disposal of hazardous materials and waste products such as human tissue samples that may have the potential to transmit diseases. We may incur significant costs to comply with these current or future environmental and health and safety laws and regulations. In addition, we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our workers’ compensation, property and business interruption insurance and we may not be able to maintain insurance on acceptable terms, if at all. We currently carry no insurance specifically covering environmental claims.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Compliance with governmental regulations regarding the treatment of animals used in research could increase our operating costs, which would adversely affect the commercialization of our products.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Animal Welfare Act (“AWA”) is the federal law that covers the treatment of certain animals used in research. Currently, the AWA imposes a wide variety of specific regulations that govern the humane handling, care, treatment and transportation of certain animals by producers and users of research animals, most notably relating to personnel, facilities, sanitation, cage size, and feeding, watering and shipping conditions. Third parties with whom we contract are subject to registration, inspections and reporting requirements under the AWA. Furthermore, some states have their own regulations, including general anti-cruelty legislation, which establish certain standards in handling animals. Comparable rules, regulations, and or obligations exist in many foreign jurisdictions. If we or our contractors fail to comply with regulations concerning the treatment of animals used in research, we may be subject to fines and penalties and adverse publicity, and our operations could be adversely affected.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color w:val="000000"/>
          <w:sz w:val="20"/>
        </w:rPr>
        <w:t>Risks Related to Our Reliance on Third Parties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expect to rely on third parties to conduct our clinical trials and some aspects of our research and preclinical testing, and those third parties may not perform satisfactorily, including failing to meet deadlines for the completion of such trials, research or testing.</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currently rely and expect to continue to rely on third parties, such as CROs, CDMOs, clinical data management organizations, clinical data assessments and analysis organizations, medical institutions and clinical investigators, to conduct some aspects of our manufacturing, research, preclinical testing and clinical trials. Any of these third parties may terminate their engagements with us or be unable to fulfill their contractual obligations. If we need to enter into alternative arrangements, it would delay our product development activities.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GCP for conducting, recording and reporting the results of clinical trials to assure that data and reported results are credible, reproducible and accurate and that the rights, integrity and confidentiality of trial participants are protected. We are also required to register ongoing clinical trials and to post the results of completed clinical trials on a government-sponsored database within certain timeframes. Failure to do so can result in fines, adverse publicity and civil and criminal sanctions. Similar risks may exist in foreign jurisdictions.</w:t>
      </w:r>
    </w:p>
    <w:p>
      <w:pPr>
        <w:pStyle w:val="TextBody"/>
        <w:bidi w:val="0"/>
        <w:spacing w:before="240" w:after="283"/>
        <w:jc w:val="both"/>
        <w:rPr>
          <w:rFonts w:ascii="Times New Roman" w:hAnsi="Times New Roman"/>
          <w:sz w:val="20"/>
        </w:rPr>
      </w:pPr>
      <w:r>
        <w:rPr>
          <w:rFonts w:ascii="Arial" w:hAnsi="Arial"/>
          <w:color w:val="000000"/>
          <w:sz w:val="20"/>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medicines.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also expect to rely on other third parties to manufacture, store and distribute drug supplies for our clinical trials. Any performance failure on the part of our manufacturers or distributors could delay clinical development, marketing approval or commercialization of any product candidates, producing additional losses and depriving us of potential product revenue.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may depend on collaborations with third parties for the research, development and commercialization of certain of the product candidates we may develop. If any such collaborations are not successful, we may not be able to realize the market potential of those product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have sought, and may in the future seek, third-party collaborators for the research, development and commercialization of certain product candidates we may develop. Our likely collaborators for any other</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collaboration arrangements include large and mid-size pharmaceutical companies, regional, national and international pharmaceutical companies, biotechnology companies and academic institutions. If we enter into any such arrangements with any third parties, we will likely have shared or limited control over the amount and timing of resources that our collaborators dedicate to the development or potential commercialization of any product candidates we may seek to develop with them. Our ability to generate revenue from these arrangements with commercial entities will depend on our collaborators’ abilities to successfully perform the functions assigned to them in these arrangements. We cannot predict the success of any collaboration that we enter into.</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Collaborations involving our product candidates we may develop, pose the following risks to us: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generally have significant discretion in determining the efforts and resources that they will apply to these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may not properly obtain, maintain, enforce or defend intellectual property or proprietary rights relating to our product candidates or may use our proprietary information in such a way as to expose us to potential litigation or other intellectual property related proceedings, including proceedings challenging the scope, ownership, validity and enforceability of our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may own or co-own intellectual property covering our product candidates that result from our collaboration with them, and in such cases, we may not have the exclusive right to commercialize such intellectual property or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disputes may arise with respect to the ownership of intellectual property developed pursuant to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need the cooperation of our collaborators to enforce or defend any intellectual property we contribute to or that arises out of our collaborations, which may not be provided to us;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may infringe the intellectual property rights of third parties, which may expose us to litigation and potential liability;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disputes may arise between the collaborators and us that result in the delay or termination of the research, development or commercialization of our product candidates or that result in costly litigation or arbitration that diverts management attention and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may decide not to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may delay clinical trials, provide insufficient funding for a clinical trial, stop a clinical trial or abandon a product candidate, repeat or conduct new clinical trials, or require a new formulation of a product candidate for clinical testing;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with marketing and distribution rights to one or more product candidates may not commit sufficient resources to the marketing and distribution of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lose certain valuable rights under circumstances identified in our collaborations, including if we undergo a change of control;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may undergo a change of control and the new owners may decide to take the collaboration in a direction which is not in our best interest; </w:t>
      </w:r>
    </w:p>
    <w:p>
      <w:pPr>
        <w:pStyle w:val="TextBody"/>
        <w:bidi w:val="0"/>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may become party to a business combination transaction and the continued pursuit and emphasis on our development or commercialization program by the resulting entity under our existing collaboration could be delayed, diminished or terminated;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may become bankrupt, which may significantly delay our research or development programs, or may cause us to lose access to valuable technology, devices, materials, know-how or intellectual property of the collaborator relating to our products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key personnel at our collaborators may leave, which could negatively impact our ability to productively work with our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collaborations may require us to incur short and long-term expenditures, issue securities that dilute our stockholders, or disrupt our management and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collaborations may be terminated and, if terminated, may result in a need for additional capital to pursue further development or commercialization of the applicable product candidates or our Therapeutic Vector Evolution platform technology;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collaboration agreements may not lead to development or commercialization of product candidates in the most efficient manner or at all. </w:t>
      </w:r>
    </w:p>
    <w:p>
      <w:pPr>
        <w:pStyle w:val="TextBody"/>
        <w:bidi w:val="0"/>
        <w:spacing w:before="240" w:after="283"/>
        <w:jc w:val="both"/>
        <w:rPr>
          <w:rFonts w:ascii="Arial" w:hAnsi="Arial"/>
          <w:color w:val="000000"/>
          <w:sz w:val="20"/>
        </w:rPr>
      </w:pPr>
      <w:r>
        <w:rPr>
          <w:rFonts w:ascii="Arial" w:hAnsi="Arial"/>
          <w:color w:val="000000"/>
          <w:sz w:val="20"/>
        </w:rPr>
        <w:t>We may face significant competition in seeking appropriate collaborations. Recent business combinations among biotechnology and pharmaceutical companies have resulted in a reduced number of potential collaborators. In addition, the negotiation process is time-consuming and complex, and we may not be able to negotiate collaborations on a timely basis, on acceptable terms, or at all. If we are unable to do so, we may have to curtail the development of the product candidate for which we are seeking to collaborate or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 which could seriously harm our business.</w:t>
      </w:r>
    </w:p>
    <w:p>
      <w:pPr>
        <w:pStyle w:val="TextBody"/>
        <w:bidi w:val="0"/>
        <w:spacing w:before="240" w:after="283"/>
        <w:jc w:val="both"/>
        <w:rPr>
          <w:rFonts w:ascii="Times New Roman" w:hAnsi="Times New Roman"/>
          <w:sz w:val="20"/>
        </w:rPr>
      </w:pPr>
      <w:r>
        <w:rPr>
          <w:rFonts w:ascii="Arial" w:hAnsi="Arial"/>
          <w:color w:val="000000"/>
          <w:sz w:val="20"/>
        </w:rPr>
        <w:t>If we enter into collaborations to develop and potentially commercialize any product candidates, we may not be able to realize the benefit of such transactions if we or our collaborator elect not to exercise the rights granted under the agreement or if we or our collaborator are unable to successfully integrate a product candidate into existing operations and company culture.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Our reliance on Chinese biotechnology companies may subject us to additional risks.</w:t>
      </w:r>
    </w:p>
    <w:p>
      <w:pPr>
        <w:pStyle w:val="TextBody"/>
        <w:bidi w:val="0"/>
        <w:spacing w:before="240" w:after="283"/>
        <w:jc w:val="both"/>
        <w:rPr>
          <w:rFonts w:ascii="Times New Roman" w:hAnsi="Times New Roman"/>
          <w:sz w:val="20"/>
        </w:rPr>
      </w:pPr>
      <w:r>
        <w:rPr>
          <w:rFonts w:ascii="Arial" w:hAnsi="Arial"/>
          <w:color w:val="000000"/>
          <w:sz w:val="20"/>
        </w:rPr>
        <w:t>Certain Chinese biotechnology companies, CROs and contract development and manufacturing organizations may become subject to trade restrictions, sanctions, other regulatory requirements, or proposed legislation by the U.S. government, which could potentially impact services available for our research and development or our ability to secure the materials we need for our product candidates. For example, the U.S. BIOSECURE Act, which was enacted in December 2025, prohibits federal agencies from procuring or using any biotechnology equipment or services from “biotechnology companies of concern”, or entering into, extending, or renewing any contracts with entities that use such biotechnology equipment or services from “biotechnology companies of concern”. Congress has interpreted a “biotechnology</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company of concern” as an entity that is under the control of a foreign adversary and that poses a risk to national security based on its research or multiomic data collection (e.g., collection of genomic information). While the U.S. BIOSECURE Act has a grandfathering period of five years for existing contracts, and has carveouts for manufacture of drugs for supply under Medicaid and Medicare Part B, subject to the Secretary of Veteran Affairs’ discretion, the impact of the U.S. BIOSECURE Act on the biotechnology industry is uncertain. If the Chinese or other foreign CROs and CDMOs we rely on become subject to trade restrictions, sanctions, increased tariffs or other regulatory requirements by the U.S. government (including designation as a “biotechnology company of concern” under the U.S. BIOSECURE Act), or if the U.S. or Chinese government take retaliatory actions due to recent or increased tensions between the U.S. and China, it may have the potential to severely restrict the ability of U.S. biopharmaceutical companies like us to purchase services or products from, or otherwise collaborate with, certain “biotechnology companies of concern” without losing the ability to contract with, or otherwise receive funding from, the U.S. government. It is possible that some of our contractual counterparties could be impacted by the legislation described above. Such counterparties may be subject to U.S. legislation, sanctions, trade restrictions and other foreign regulatory requirements which could increase the cost or reduce the supply of material available to us, delay the procurement or supply of such material or have an adverse effect on our ability to secure significant commitments from governments to purchase our potential therapies. Such disruption could have adverse effects on the development of our product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color w:val="000000"/>
          <w:sz w:val="20"/>
        </w:rPr>
        <w:t>Risks Related to Our Intellectual Property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Our success depends on our ability to protect our intellectual property and our proprietary technologies.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Our commercial success depends in part on our ability to obtain and maintain patent protection and trade secret protection for our product candidates, proprietary technologies and their uses as well as our ability to operate without infringing upon the proprietary rights of others. We generally seek to protect our proprietary position by filing patent applications in the United States and abroad related to our product candidates, proprietary technologies and their uses that are important to our business. Our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those of our licensors will result in additional patents being issued or that issued patents will afford sufficient protection against competitors with similar technology, nor can there be any assurance that the patents issued will not be infringed, designed around or invalidated by third parties. Even issued patents may later be found invalid or unenforceable or may be modified or revoked in proceedings instituted by third parties before various patent offices or in courts. Further, our licensed patents and applications include five granted patents (U.S. patent nos. 12,310,997, 12,180,254, 11,136,557, 11,634,691 and 10,988,519) and two pending patent applications (U.S. patent application nos. 18/184,184 and 18/924,426), that were made with government support, that may be subject, under certain circumstances, to march-in-rights under 35 U.S.C. 203, which is a right that allows the government, in certain limited circumstances, to force a party with a license to intellectual property funded, at least in part, by the government, to grant a license to such property to another entity. U.S. patent nos. 11,136,557 and 11,634,691 were made with the support of U.C. Berkeley and relate to our A101 vector of our 4D-710 and 4D-725 product candidates. U.S. patent nos. 10,988,519 and 12,180,254 were made with the support of University of Pennsylvania and relate to our short-form human complement factor H (sCFH) payload of our 4D-175 product candidate. The degree of future protection for our proprietary rights is uncertain. Only limited protection may be available and may not adequately protect our rights or permit us to gain or keep any competitive advantage. If we do not adequately protect our intellectual property and proprietary technology, competitors may be able to use our product candidates and proprietary technologies and erode or negate any competitive advantage we may have, which could seriously harm our business.</w:t>
      </w:r>
    </w:p>
    <w:p>
      <w:pPr>
        <w:pStyle w:val="TextBody"/>
        <w:bidi w:val="0"/>
        <w:spacing w:before="240" w:after="283"/>
        <w:jc w:val="both"/>
        <w:rPr>
          <w:rFonts w:ascii="Times New Roman" w:hAnsi="Times New Roman"/>
          <w:sz w:val="20"/>
        </w:rPr>
      </w:pPr>
      <w:r>
        <w:rPr>
          <w:rFonts w:ascii="Arial" w:hAnsi="Arial"/>
          <w:color w:val="000000"/>
          <w:sz w:val="20"/>
        </w:rPr>
        <w:t>We and our licensors have applied, and we intend to continue applying, for patents covering aspects of our product candidates, proprietary technologies and their uses that we deem appropriate. However, we may not be able to apply for patents on certain aspects of our current or future product candidates,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proprietary technologies and their uses in a timely fashion, at a reasonable cost, in all jurisdictions, or at all, and any potential patent coverage we obtain may not be sufficient to prevent substantial competition.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patent application process is subject to numerous risks and uncertainties, and there can be no assurance that we or any of our actual or potential future collaborators or licensors will be successful in protecting our product candidates, proprietary technologies and their uses by obtaining and defending patents. These risks and uncertainties include the following: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U.S. Patent and Trademark Office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patent applications may not result in any patents being issued;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patents that may be issued or in-licensed may be challenged, invalidated, modified, revoked, circumvented, found to be unenforceable or otherwise may not provide any competitive advantage;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other parties may have designed around our claims or developed technologies that may be related or competitive to our platform, may have filed or may file patent applications and may have received or may receive patents that overlap or conflict with our patent applications, either by claiming the same methods or devices or by claiming subject matter that could dominate our patent position;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any successful opposition to any patents owned by or licensed to us could deprive us of rights necessary for the practice of our technologies or the successful commercialization of any products or product candidates that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because patent applications in the United States and most other countries are confidential for a period of time after filing, we cannot be certain that we or our licensors were the first to file any patent application related to our product candidates, proprietary technologies and their uses;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an interference proceeding can be provoked by a third party or instituted by the USPTO to determine who was the first to invent any of the subject matter covered by the patent claims of our licensors’ patent applications for any patent application with an effective filing date before March 16, 2013;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countries other than the United States may have patent laws less favorable to patentees than those upheld by U.S. courts, allowing foreign competitors a better opportunity to create, develop and market competing product candidates. </w:t>
      </w:r>
    </w:p>
    <w:p>
      <w:pPr>
        <w:pStyle w:val="TextBody"/>
        <w:bidi w:val="0"/>
        <w:spacing w:before="240" w:after="283"/>
        <w:jc w:val="both"/>
        <w:rPr>
          <w:rFonts w:ascii="Times New Roman" w:hAnsi="Times New Roman"/>
          <w:sz w:val="20"/>
        </w:rPr>
      </w:pPr>
      <w:r>
        <w:rPr>
          <w:rFonts w:ascii="Arial" w:hAnsi="Arial"/>
          <w:color w:val="000000"/>
          <w:sz w:val="20"/>
        </w:rPr>
        <w:t>The patent prosecution process is also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CROs, contract</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manufacturers, consultants and other third parties, any of these parties may breach such agreements and disclose such output before a patent application is filed, thereby jeopardizing our ability to seek patent protection.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patent position of biopharmaceutical companies generally is highly uncertain, involves complex legal and factual questions, and has been the subject of much litigation in recent years. Moreover, the issuance of a patent is not conclusive as to its inventorship, scope, validity or enforceability, and our patents, if issued, patents obtained by our collaborators or the patent rights that we license from others, may be challenged in the courts or patent offices in the United States and abroad. Once granted, patents may remain open to opposition, interference, re-examination, post-grant review, inter partes review, nullification or derivation action in court or before patent offices or similar proceedings for a given period after allowance or grant, during which time third parties can raise objections against such initial grant. Such challenges may result in loss of exclusivity or freedom to operate or in patent claims being narrowed, invalidated or held unenforceable, in whole or in part, which could limit our ability to stop others from using or commercializing similar or identical products or product candidates, or limit the duration of the patent protection of our product candidates.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ability to enforce our patent rights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We may not prevail in any lawsuits that we initiate and the damages or other remedies awarded if we were to prevail may not be commercially meaningful.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covering our product candidates are invalidated or found unenforceable, or if a court found that valid, enforceable patents held by third parties covered one or more of our product candidates, our competitive position could be harmed or we could be required to incur significant expenses to enforce or defend our rights. If we initiate lawsuits to protect or enforce our patents, or litigate against third-party claims, such proceedings would be expensive and would divert the attention of our management and technical personnel.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degree of future protection for our proprietary rights is uncertain, and we cannot ensure that:</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any of our patents, or any of our pending patent applications, if issued, or those of our licensors, will include claims having a scope sufficient to protect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any of our pending patent applications or those of our licensors may issue as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others will not or may not be able to make, use, offer to sell, or sell products that are the same as or similar to our own but that are not covered by the claims of the patents that we own or license;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will be able to successfully commercialize our product candidates on a substantial scale, if approved, before the relevant patents that we own or license expire;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or our licensors were the first to make the inventions covered by each of the patents and pending patent applications that we own or license;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or our licensors were the first to file patent applications for these inventions;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others will not develop similar or alternative technologies that do not infringe the patents we own or license;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any of the patents we own or license will be found to ultimately be valid and enforceable; </w:t>
      </w:r>
    </w:p>
    <w:p>
      <w:pPr>
        <w:pStyle w:val="TextBody"/>
        <w:bidi w:val="0"/>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any patents issued to us or our licensors will provide a basis for an exclusive market for our commercially viable products or will provide us with any competitive advantages;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 third party may not challenge the patents we own or license and, if challenged, a court would hold that such patents are valid, enforceable and infringed;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develop or in-license additional proprietary technologies that are patentable;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patents of others will not have an adverse effect on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competitors do not conduct research and development activities in countries where we do not have enforceable patent rights and then use the information learned from such activities to develop competitive products for sale in our major commercial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will develop additional proprietary technologies or product candidates that are separately patentable; or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commercial activities or products will not infringe upon the patents of others. </w:t>
      </w:r>
    </w:p>
    <w:p>
      <w:pPr>
        <w:pStyle w:val="TextBody"/>
        <w:bidi w:val="0"/>
        <w:spacing w:before="240" w:after="283"/>
        <w:jc w:val="both"/>
        <w:rPr>
          <w:rFonts w:ascii="Times New Roman" w:hAnsi="Times New Roman"/>
          <w:sz w:val="20"/>
        </w:rPr>
      </w:pPr>
      <w:r>
        <w:rPr>
          <w:rFonts w:ascii="Arial" w:hAnsi="Arial"/>
          <w:color w:val="000000"/>
          <w:sz w:val="20"/>
        </w:rPr>
        <w:t>Where we obtain licenses from or collaborate with third parties, in some circumstances, we may not have the right to control the preparation, filing and prosecution of patent applications, or to maintain the patents, covering technology that we license from third parties, or such activities, if controlled by us, may require the input of such third parties. We may also require the cooperation of our licensors and collaborators to enforce any licensed patent rights, and such cooperation may not be provided. Therefore, these patents and patent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or expiration of licensed patents or patent applications,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Furthermore, our owned and in-licensed intellectual property rights may be subject to a reservation of rights by one or more third parties. For example, the research resulting in certain of our in-licensed patent rights and technology was funded in part by the U.S.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such rights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The lives of our patents may not be sufficient to effectively protect our product candidates and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Patents have a limited lifespan. In the United States, the natural expiration of a patent is generally 20 years after its first effective non-provisional filing date. Although various extensions may be available, the life of a patent, and the protection it affords, are limited. Even if patents covering our product candidates, proprietary technologies and their uses are obtained, once the patent life has expired, we may be open to competition. In addition, although upon issuance in the United States a patent’s life can be extended based on certain delays caused by the USPTO and clinical development, this extension can be reduced or eliminated based on certain delays caused by the patent applicant during patent prosecution. Given the amount of time required for the development, testing and regulatory review of new product candidates, patents protecting such candidates might expire before or shortly after such candidates are commercialized.</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If we do not have sufficient patent life to protect our product candidates, proprietary technologies and their uses, our business would be seriously harmed.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If we do not obtain patent term extension for our product candidates, our business may be seriously harmed.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Depending upon the timing, duration and specifics of FDA marketing approval of any of our product candidates, one or more of our U.S. patents may be eligible for limited patent term restoration under the Drug Price Competition and Patent Term Restoration Act of 1984, also known as the Hatch-Waxman Amendments. The Hatch-Waxman Amendments permit a patent restoration term of up to five years as compensation for patent term lost during product development and the FDA regulatory review process. The Hatch-Waxman Act allows a maximum of one patent to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of the applicable product, and our business may be seriously harmed.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Changes in patent law in the United States or in other countries could diminish the value of patents in general, thereby impairing our ability to protect our product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patent rights may be affected by developments or uncertainty in the U.S. or foreign patent statutes, patent case laws, USPTO rules and regulations or in the rules and regulations of foreign patent offices.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On September 16, 2011, the Leahy-Smith America Invents Act (“Leahy-Smith Act”) was signed into law. There remains many subsisting issued patents and some pending patent applications in the U.S. that were filed prior to its enactment and are therefore subject to the pre-Leahy-Smith Act U.S. patent laws and that may have relevance to our freedom-to-operate or ability to obtain patent issuances. The Leahy-Smith Act includes a number of significant changes to the U.S. patent law. These include provisions that affect the way patent applications will be prosecuted and may also affect patent litigation. In particular, under the Leahy-Smith Act, the United States transitioned in March 2013 to a “first to file” system in which the first inventor to file a patent application will be entitled to the patent. Third parties are allowed to submit prior art before the issuance of a patent by the USPTO, and may become involved in post-grant proceedings including opposition, derivation, reexamination, inter partes review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 This could have a negative impact on some of our intellectual property and could increase uncertainties surrounding obtaining and enforcement or defense of our issued patents. In addition, Congress may pass patent reform legislation that is unfavorable to us. The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would weaken our ability to obtain new patents or to enforce our existing patents and patents we might obtain in the future. Similarly, statutory or judicial changes to the patent laws of other countries may increase the uncertainties and costs surrounding the prosecution of patent applications and the enforcement or defense of issued patents. Complying with these laws and regulations could limit our ability to obtain new patents in the future that may be important for our business.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Additionally, on June 1, 2023, the European Union Patent Package (EU Patent Package) regulations were implemented with the goal of providing a single pan-European Unitary Patent and a new European Unified Patent Court (UPC) for litigation involving European patents. As a result, all European patents, including those issued prior to ratification of the EU Patent Package, now by default automatically fall under the jurisdiction of the UPC. Our European patent applications, if issued, could be challenged in the UPC. During the first seven years of the UPC’s existence, the UPC legislation allows a patent owner to opt its European patents out of the jurisdiction of the UPC. We may decide to opt out our future European patents from the UPC, but doing so may preclude us from realizing the benefits of the UPC. Moreover, if we do not meet all of the formalities and requirements for opt-out under the UPC, our future European patents could remain under the jurisdiction of the UPC. The UPC will provide our competitors with a new forum to centrally revoke our European patents, and allow for the possibility of a competitor to obtain a pan-European injunction. Such a loss of patent protection could have a material adverse impact on our business and our ability to commercialize our technology and product candidates and, resultantly, on our business, financial condition, prospects and results of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may not be able to protect our intellectual property rights throughout the world.</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Filing, prosecuting and defending all current and future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pStyle w:val="TextBody"/>
        <w:bidi w:val="0"/>
        <w:spacing w:before="240" w:after="283"/>
        <w:jc w:val="both"/>
        <w:rPr>
          <w:rFonts w:ascii="Arial" w:hAnsi="Arial"/>
          <w:color w:val="000000"/>
          <w:sz w:val="20"/>
        </w:rPr>
      </w:pPr>
      <w:r>
        <w:rPr>
          <w:rFonts w:ascii="Arial" w:hAnsi="Arial"/>
          <w:color w:val="000000"/>
          <w:sz w:val="20"/>
        </w:rPr>
        <w:t>Moreover, geo-political actions in the U.S.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U.S. and foreign government actions related to Russia’s conflict with Ukraine may limit or prevent filing, prosecution, and maintenance of patent applications in Russia. Government actions may also prevent maintenance of issued patents in Russia. For example, a decree was adopted by the Russian government in March 2022, allowing Russian companies and individuals to exploit inventions owned by patentees from the U.S. without consent or compensation.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may export otherwise infringing products to territories where we have patent protection, but enforcement rights are not as strong as those in the United States. These products may compete with our product candidates and our patents or other IP rights may not be effective or sufficient to prevent them from competing.</w:t>
      </w:r>
    </w:p>
    <w:p>
      <w:pPr>
        <w:pStyle w:val="TextBody"/>
        <w:bidi w:val="0"/>
        <w:spacing w:before="240" w:after="283"/>
        <w:jc w:val="both"/>
        <w:rPr>
          <w:rFonts w:ascii="Times New Roman" w:hAnsi="Times New Roman"/>
          <w:sz w:val="20"/>
        </w:rPr>
      </w:pPr>
      <w:r>
        <w:rPr>
          <w:rFonts w:ascii="Arial" w:hAnsi="Arial"/>
          <w:color w:val="000000"/>
          <w:sz w:val="20"/>
        </w:rPr>
        <w:t>The legal systems of many foreign countries do not favor the enforcement of patents and other intellectual property protection, which could make it difficult for us to stop the infringement of our patents or marketing of competing products in violation of our proprietary rights. For example, some foreign countries have compulsory licensing laws under which a patent owner must grant licenses to third parties. In addition, some countries limit the enforceability of patents against third parties, including government agencies or government contractors. In these countries, patents may provide limited or no benefit.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rights around the world may be inadequate to obtain a significant commercial advantage from the intellectual property that we develop or license. If we or any of our licensors is forced to grant a license to third parties with respect to any patents relevant to our business, our business may be seriously harmed.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may be subject to claims challenging the inventorship or ownership of our patents and other intellectual property.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agreements with employees and consultants provide that any inventions conceived by an individual in the course of rendering services to us shall be our exclusive property. Although our policy is to have all such individuals complete these agreements, we may not obtain these agreements in all circumstances, and individuals with whom we have these agreements may not comply with their terms. The assignment of intellectual property may not be self-executing and despite such agreement, such inventions may become assigned to third parties. In the event of unauthorized use or disclosure of our trade secrets or proprietary information, these agreements, even if obtained, may not provide meaningful protection, particularly for our trade secrets or other confidential information. We may also be subject to claims that former employees, consultants, or other third parties have an ownership interest in our patents or other intellectual property. In addition, we may face claims by third parties that our agreements with employees or consultants obligating them to assign intellectual property to us are ineffective or in conflict with prior or competing contractual obligations of assignment, which could result in ownership disputes regarding intellectual property we have developed or will develop and interfere with our ability to capture the commercial value of such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seriously harm our business. Even if we are successful in defending against such claims, litigation could result in substantial costs and distraction to our management and other employees.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USPTO and various foreign governmental patent agencies require compliance with a number of procedural, documentary, fee payment and other provisions during the patent process. 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We employ reputable professionals and rely on such third parties to help us comply with these requirements and effect payment of these fees with respect to the patents and patent applications that we own, and if we license intellectual property we may have to rely upon our licensors to comply with these requirements and effect payment of these fees with respect to any patents and patent applications that we license. In many cases, an inadvertent lapse can be cured by payment of a late fee or by other means in accordance with the applicable rules. However,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 There could also be delays at the USPTO caused by staffing cuts and other U.S. government actions as a result of the U.S. Department of Government Efficiency or other executive actions to reduce the size of the U.S. government.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If we are unable to protect the confidentiality of our trade secrets, our business would be seriously harmed.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rely on the protection of our trade secrets, including unpatented know-how, technology and other proprietary information to maintain our competitive position. We have taken steps to protect our trade secrets and unpatented know-how, including entering into confidentiality agreements with third parties, and confidential information and inventions agreements with employees and consultants. In addition to contractual measures, we try to protect the confidential nature of our proprietary information using</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commonly accepted physical and technological security measures. Despite these efforts, we cannot provide any assurances that all such agreements have been duly executed, and any of these parties may breach the agreements and disclose our proprietary information, including our trade secrets, and we may not be able to obtain adequate remedies for such breaches. In addition, such security measures may not provide adequate protection for our proprietary information, for example, in the case of misappropriation of a trade secret by an employee, consultant or third party with authorized access. Our security measures may not prevent an employee, consultant, collaborator or third party from misappropriating our trade secrets and providing them to a competitor, and recourse we take against such misconduct may not provide an adequate remedy to protect our interests fully. Monitoring unauthorized uses and disclosures is difficult, and we do not know whether the steps we have taken to protect our proprietary technologies will be effective. Unauthorized parties may also attempt to copy or reverse engineer certain aspects of our product candidates that we consider proprietary. Enforcing a claim that a party illegally disclosed or misappropriated a trade secret can be difficult, expensive and time-consuming, and the outcome is unpredictable. Even though we use commonly accepted security measures, the criteria for protection of trade secrets can vary among different jurisdictions.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In addition, some courts inside and outside the United States are less willing or unwilling to protect trade secrets. Moreover, third parties may still obtain this information or may come upon this or similar information independently, and we would have no right to prevent them from using that technology or information to compete with us. Trade secrets will over time be disseminated within the industry through independent development, the publication of journal articles and the movement of personnel skilled in the art from company to company or academic to industry scientific positions. Further, we may need to share our trade secrets and confidential know-how with future business partners, collaborators, contractors and others located in countries at heightened risk of theft of trade secrets, including through direct intrusion by private parties or actors in other countries, and those affiliated with or controlled by state actors.</w:t>
      </w:r>
    </w:p>
    <w:p>
      <w:pPr>
        <w:pStyle w:val="TextBody"/>
        <w:bidi w:val="0"/>
        <w:spacing w:before="240" w:after="283"/>
        <w:jc w:val="both"/>
        <w:rPr>
          <w:rFonts w:ascii="Times New Roman" w:hAnsi="Times New Roman"/>
          <w:sz w:val="20"/>
        </w:rPr>
      </w:pPr>
      <w:r>
        <w:rPr>
          <w:rFonts w:ascii="Arial" w:hAnsi="Arial"/>
          <w:color w:val="000000"/>
          <w:sz w:val="20"/>
        </w:rPr>
        <w:t>Though our agreements with third parties typically restrict the ability of our employees, collaborators, licensors, third-party contractors and consultants to publish data potentially relating to our trade secrets, our agreements may contain certain limited publication rights. If any of our trade secrets were to be lawfully obtained or independently developed by a competitor, we would have no right to prevent such competitor from using that technology or information to compete with us, which could harm our competitive position. Because from time to time we have relied on, and in future expect to rely on third parties in the development, manufacture, and distribution of our product candidates and provision of our services, we must, at times, share trade secrets with them. Despite employing the contractual and other security precautions described above, the need to share trade secrets increases the risk that such trade secrets become known by our competitors, are inadvertently incorporated into the technology of others, or are disclosed or used in violation of these agreements.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Our rights to develop and commercialize our product candidates are subject in part to the terms and conditions of licenses granted to us by others, and the patent protection, prosecution and enforcement for some of our product candidates may be dependent on our licensors.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currently are reliant upon licenses of certain patent rights and proprietary technology from third parties that are important or necessary to the development of our technology, including technology related to our product candidates. For example, we rely on our exclusive license agreements with (i) U.C. Berkeley for certain rights with respect to the intellectual property covering certain compositions of matter and methods of use of certain AAV variants related to our 4D-710 and 4D-725 product candidates, and (ii) University of Pennsylvania for certain rights with respect to the intellectual property covering certain compositions of matter and methods of use of the short-form human complement factor H (sCFH) payload related to our 4D-175 product candidate. These and other licenses we may enter into in the future may not provide adequate rights to use such intellectual property and technology in all relevant fields of use or in all territories in which we may wish to develop or commercialize our technology and product candidates in the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future. As a result, we may not be able to develop and commercialize our technology and product candidates in fields of use and territories for which we are not granted rights pursuant to such licenses.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Licenses to additional third-party technology that may be required for our development programs may not be available in the future or may not be available on commercially reasonable terms, which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some circumstances, we may not have the right to control the preparation, filing, prosecution and enforcement of patent applications, or to maintain the patents, covering technology that we license from third parties. In addition, some of our agreements with our licensors require us to obtain consent from the licensor before we can enforce patent rights, and our licensor may withhold such consent or may not provide it on a timely basis. Therefore, we cannot be certain that our licensors or collaborators will prosecute, maintain, enforce and defend such intellectual property rights in a manner consistent with the best interests of our business, including by taking reasonable measures to protect the confidentiality of know-how and trade secrets, or by paying all applicable prosecution and maintenance fees related to intellectual property registrations for any of our product candidates. We also cannot be certain that our licensors have drafted or prosecuted the patents and patent applications licensed to us in compliance with applicable laws and regulations, which may affect the validity and enforceability of such patents or any patents that may issue from such applications. If they fail to do so, this could cause us to lose rights in any applicable intellectual property that we in-license, and as a result our ability to develop and commercialize products or product candidates may be adversely affected and we may be unable to prevent competitors from making, using and selling competing products.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current licenses, and our future licenses, likely will impose various royalty payments, milestones, and other obligations on us. If we fail to comply with any of these obligations, we may be required to pay damages and the licensor may have the right to terminate the license. Termination by the licensor would cause us to lose valuable rights, and could prevent us from developing and commercializing our product candidates and proprietary technologies. Our business would be seriously harmed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Furthermore, if any current or future licenses terminate, or if the underlying patents fail to provide the intended exclusivity, competitors or other third parties may gain the freedom to seek regulatory approval of, and to market, products identical to ours.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royalty obligations we would be required to pay on the sales of future products, if any, the amounts may be significant. The amount of our future royalty obligations will depend on the technology and intellectual property we use in product candidates that we successfully develop and commercialize, if any. Therefore, even if we successfully develop and commercialize any product candidates, we may be unable to achieve or maintain profitability.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If our trademarks and trade names, whether registered in the future or unregistered now, are not adequately protected, then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Any trademarks we may register in the future or any current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and trade names, to the extent any are registered,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Intellectual property rights do not necessarily address all potential threats to our competitive advantage.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others may be able to make genetic medicine products that are similar to our product candidates or utilize similar genetic medicine technology but that are not covered by the claims of the patents that we own or have exclusively licensed;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or our licensors or future collaborators might not have been the first to make the inventions covered by the issued patents or pending patent applications that we own or have exclusively licensed;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or our licensors or future collaborators might not have been the first to file patent applications covering certain of our inventions;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others may independently develop similar or alternative technologies or duplicate any of our technologies without infringing our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it is possible that our pending patent applications will not lead to issued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issued patents that we own or have exclusively licensed may be held invalid or unenforceable, as a result of legal challenges by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not develop additional proprietary technologies that are patentable;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patents of others may have an adverse effect on our business. </w:t>
      </w:r>
    </w:p>
    <w:p>
      <w:pPr>
        <w:pStyle w:val="TextBody"/>
        <w:bidi w:val="0"/>
        <w:spacing w:before="240" w:after="283"/>
        <w:jc w:val="both"/>
        <w:rPr>
          <w:rFonts w:ascii="Times New Roman" w:hAnsi="Times New Roman"/>
          <w:sz w:val="20"/>
        </w:rPr>
      </w:pPr>
      <w:r>
        <w:rPr>
          <w:rFonts w:ascii="Arial" w:hAnsi="Arial"/>
          <w:color w:val="000000"/>
          <w:sz w:val="20"/>
        </w:rPr>
        <w:t>Should any of these events occur, they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Our existing collaborations and any collaboration arrangements that we may enter into in the future may not be successful, which could adversely affect our ability to develop and commercialize our products.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existing collaborations, such as our collaboration with Otsuka Pharmaceutical Co., Ltd. and any future collaborations that we enter into may not be successful. The success of our collaboration arrangements will depend heavily on the efforts and activities of our collaborators. Collaborations are subject to numerous risks, which may include that:</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have significant discretion in determining the efforts and resources that they will apply to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may not pursue development and commercialization of our product candidates or may elect not to continue or renew development or commercialization programs based on trial or test results, changes in their strategic focus due to the acquisition of competitive products, </w:t>
      </w:r>
    </w:p>
    <w:p>
      <w:pPr>
        <w:pStyle w:val="TextBody"/>
        <w:bidi w:val="0"/>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rFonts w:ascii="Arial" w:hAnsi="Arial"/>
          <w:color w:val="000000"/>
          <w:sz w:val="20"/>
        </w:rPr>
        <w:t>availability of funding or other external factors, such as a business combination that diverts resources or creates competing priorities;</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could independently develop, or develop with third parties, products and product candidates that compete directly or indirectly with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 collaborator with marketing, manufacturing and distribution rights to one or more products and product candidates may not commit sufficient resources to or otherwise not perform satisfactorily in carrying out these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could grant exclusive rights to our collaborators that would prevent us from collaborating with others;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disputes may arise between us and a collaborator that causes the delay or termination of the research, development or commercialization of our current or future product candidates or that results in costly litigation or arbitration that diverts management attention and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collaborations may be terminated, and, if terminated, may adversely affect the price of our common stock and may result in a need for additional capital to pursue further development or commercialization of the applicable current or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may own or co-own intellectual property covering our product candidates that results from our collaborating with them, and in such cases, we would not have the exclusive right to develop or commercialize such intellectual property;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 collaborator’s sales and marketing activities or other operations may not be in compliance with applicable laws resulting in civil or criminal proceedings. </w:t>
      </w:r>
    </w:p>
    <w:p>
      <w:pPr>
        <w:pStyle w:val="TextBody"/>
        <w:bidi w:val="0"/>
        <w:spacing w:before="240" w:after="283"/>
        <w:jc w:val="both"/>
        <w:rPr>
          <w:rFonts w:ascii="Arial" w:hAnsi="Arial"/>
          <w:b/>
          <w:i/>
          <w:color w:val="000000"/>
          <w:sz w:val="20"/>
        </w:rPr>
      </w:pPr>
      <w:r>
        <w:rPr>
          <w:rFonts w:ascii="Arial" w:hAnsi="Arial"/>
          <w:b/>
          <w:i/>
          <w:color w:val="000000"/>
          <w:sz w:val="20"/>
        </w:rPr>
        <w:t>Reliance on third parties requires us to share our trade secrets, which increases the possibility that a competitor will discover them or that our trade secrets will be misappropriated or disclosed.</w:t>
      </w:r>
    </w:p>
    <w:p>
      <w:pPr>
        <w:pStyle w:val="TextBody"/>
        <w:bidi w:val="0"/>
        <w:spacing w:before="240" w:after="283"/>
        <w:jc w:val="both"/>
        <w:rPr>
          <w:rFonts w:ascii="Times New Roman" w:hAnsi="Times New Roman"/>
          <w:sz w:val="20"/>
        </w:rPr>
      </w:pPr>
      <w:r>
        <w:rPr>
          <w:rFonts w:ascii="Arial" w:hAnsi="Arial"/>
          <w:color w:val="000000"/>
          <w:sz w:val="20"/>
        </w:rPr>
        <w:t>Reliance on third parties to conduct clinical trials, assist in research and development and to manufacture our product candidates, will at times require us to share trade secrets with them. We seek to protect our proprietary technology by in part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independent discovery of our trade secrets or other unauthorized use or disclosure would impair our competitive position and may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may fail to comply with any of our obligations under existing or future agreements pursuant to which we license or have otherwise acquired intellectual property rights or technology, which could result in the loss of rights or technology that are material to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are party to various agreements that we depend on to operate our business. Our rights to use currently licensed intellectual property, or intellectual property to be licensed in the future, are or will be subject to the continuation of and our compliance with the terms of these agreements. These agreements are complex, and certain provisions in such agreements may be susceptible to multiple interpretations which could lead to disputes, including but not limited to those regarding:</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scope of rights granted under the license agreement and other interpretation-related issues;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extent to which our proprietary technology and product candidates infringe on intellectual property of the licensor that is not subject to the licensing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sublicensing of patent and other rights;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diligence obligations under the license agreement and what activities satisfy those diligence obligations;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ownership of inventions and know-how resulting from the creation or use of intellectual property by us or our counterparties, alone or jointly;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scope and duration of our payment obligations;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rights upon termination of such agreement;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scope and duration of exclusivity obligations of each party to the agreement. </w:t>
      </w:r>
    </w:p>
    <w:p>
      <w:pPr>
        <w:pStyle w:val="TextBody"/>
        <w:bidi w:val="0"/>
        <w:spacing w:before="240" w:after="283"/>
        <w:jc w:val="both"/>
        <w:rPr>
          <w:rFonts w:ascii="Times New Roman" w:hAnsi="Times New Roman"/>
          <w:sz w:val="20"/>
        </w:rPr>
      </w:pPr>
      <w:r>
        <w:rPr>
          <w:rFonts w:ascii="Arial" w:hAnsi="Arial"/>
          <w:color w:val="000000"/>
          <w:sz w:val="20"/>
        </w:rPr>
        <w:t>The resolution of any contractual interpretation dispute that may arise, if unfavorable to us, could seriously harm our business. Such resolution could narrow what we believe to be the scope of our rights to the relevant intellectual property or technology, increase what we believe to be our financial or other obligations under the relevant agreement, or decrease the third party’s financial or other obligations under the relevant agreement.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If disputes over intellectual property rights that we have licensed or acquired from third parties prevent or impair our ability to maintain our current license agreements on acceptable terms, we may be unable to successfully develop and commercialize the affected product candidates. If we fail to comply with our obligations under current or future license agreements, these agreements may be terminated or the scope of our rights under them may be reduced and we might be unable to develop, manufacture or market any product that is licensed under these agreements.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Litigation or other proceedings or third-party claims of intellectual property infringement could require us to spend significant time and money and could prevent us from selling our products.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commercial success depends significantly on our ability to operate without infringing the patents and other proprietary rights of third parties. However, our research, development and commercialization activities may be subject to claims that we infringe or otherwise violate patents or other intellectual property rights owned or controlled by third parties. Claims by third parties that we infringe their proprietary rights may result in liability for damages or prevent or delay our developmental and commercialization efforts. We cannot assure you that our operations do not, or will not in the future, infringe existing or future patents or other proprietary rights of third parties.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Third parties may have or obtain patents or other proprietary rights that could limit our ability to make, use, sell, offer for sale or import our product candidates and future approved products, if any, or impair our competitive position. There is a substantial amount of litigation, both within and outside the United States, involving patent and other intellectual property rights in the biotechnology and pharmaceutical industries, including patent infringement lawsuits, interferences, oppositions, reexaminations, inter partes review proceedings and post-grant review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Furthermore,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be incorrect, which may negatively impact our ability to market our products. Further, we may incorrectly determine that our technologies or product candidates are not covered by a third-party patent or may incorrectly predict whether a third party’s pending patent application will issue with claims of relevant scope. Our determination of the expiration date of any patent in the United States or abroad that we consider relevant may be incorrect, which may negatively impact our ability to develop and market our product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As the biotechnology industry expands and more patents are issued, the risk increases that our product candidates may be subject to claims of infringement of the patent rights of third parties. 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product candidates. We do not always conduct independent reviews of pending patent applications of and patents issued to third parties. Patent applications in the United States and elsewhere are typically published approximately 18 months after the earliest filing for which priority is claimed, with such earliest filing date being commonly referred to as the priority date. Certain U.S. patent applications that will not be filed outside the United States can remain confidential until patents issue. In addition, patent applications in the United States and elsewhere can be pending for many years before issuance, or unintentionally abandoned patents or applications can be revived. Furthermore, pending patent applications that have been published can, subject to certain limitations, be later amended in a manner that could cover our technologies, our product candidates or the use of our product candidates. As such, there may be applications of others now pending or recently revived patents of which we are unaware. These applications may later result in issued patents, or the revival of previously abandoned patents, that will prevent, limit or otherwise interfere with our ability to make, use or sell our product candidates. As a result, we may be unaware of third-party patents that may be infringed by commercialization of our product candidates, and cannot be certain that we were the first to file a patent application related to a product candidate or technology. Moreover, because patent applications can take many years to issue, there may be currently 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Any claims of patent infringement asserted by third parties would be time consuming and could:</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result in costly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divert the time and attention of our technical personnel and management;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cause development delays;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prevent us from commercializing our product candidates until the asserted patent expires or is held finally invalid or not infringed in a court of law;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require us to develop non-infringing technology, which may not be possible on a cost-effective basis;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require us to pay damages to the party whose intellectual property rights we may be found to be infringing, which may include treble damages if we are found to have been willfully infringing such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require us to pay the attorney’s fees and costs of litigation to the party whose intellectual property rights we may be found to be infringing; and/or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require us to enter into royalty or licensing agreements, which may not be available on commercially reasonable terms, or at all. </w:t>
      </w:r>
    </w:p>
    <w:p>
      <w:pPr>
        <w:pStyle w:val="TextBody"/>
        <w:bidi w:val="0"/>
        <w:spacing w:before="240" w:after="283"/>
        <w:jc w:val="both"/>
        <w:rPr>
          <w:rFonts w:ascii="Times New Roman" w:hAnsi="Times New Roman"/>
          <w:sz w:val="20"/>
        </w:rPr>
      </w:pPr>
      <w:r>
        <w:rPr>
          <w:rFonts w:ascii="Arial" w:hAnsi="Arial"/>
          <w:color w:val="000000"/>
          <w:sz w:val="20"/>
        </w:rPr>
        <w:t>Although no third party has asserted a claim of patent infringement against us as of the date of this report, others may hold proprietary rights that could prevent our product candidates or any future products from being marketed. Any patent-related legal action against us claiming damages and seeking to enjoin commercial activities relating to our product candidates or proprietary technologies could subject us to</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potential liability for damages, including treble damages if we were determined to willfully infringe, and require us to obtain a license to manufacture or market our product candidates or any future products. Defense of these claims, regardless of their merit, would involve substantial litigation expense and would be time-consuming and a substantial diversion of management and employee resources from our business. We cannot predict whether we would prevail in any such actions or that any license required under any of these patents would be made available on commercially acceptable terms, if at all. Even if such licenses are available, we could incur substantial costs related to royalty payments for licenses obtained from third parties, which could negatively affect our gross margins, and the rights may be non-exclusive, which could give our competitors access to the same technology or intellectual property rights licensed to us. In addition, we cannot be certain that we could redesign our product candidates or proprietary technologies to avoid infringement, if necessary, or on a cost-effective basis. Accordingly, an adverse determination in a judicial or administrative proceeding, or the failure to obtain necessary licenses, could prevent us from developing and commercializing our product candidates or any future products which could seriously harm our business. In addition, intellectual property litigation, regardless of its outcome, may cause negative publicity and could prohibit us from marketing or otherwise commercializing our product candidates and technology.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If we collaborate with third parties in the development of technology in the future, our 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 Further, collaborators may infringe the intellectual property rights of third parties, which may expose us to litigation and potential liability. Also, we may be obligated under our agreements with our collaborators, licensors, suppliers and others to indemnify and hold them harmless for damages arising from intellectual property infringement by us.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may be involved in lawsuits to protect or enforce our patents or the patents of our licensors, which could be expensive, time consuming, and unsuccessful. Further, our issued patents could be found invalid or unenforceable if challenged.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Competitors may infringe our intellectual property rights or those of our licensors. To prevent infringement or unauthorized use, we may be required to file infringement claims, which can be expensive and time-consuming. In addition, in a patent infringement proceeding, a court or administrative tribunal may decide that a patent we own or license is not valid, is unenforceable and/or is not infringed. If we or any of our potential future collaborators were to initiate legal proceedings against a third party to enforce a patent directed at one of our product candidates, the defendant could counterclaim that our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or non-enablement. Grounds for an unenforceability assertion could include an allegation that someone connected with prosecution of the patent withheld relevant information from the USPTO or made a misleading statement during prosecution. Third parties may also raise similar claims before the USPTO, even outside the context of litigation. Similar mechanisms for challenging the validity and enforceability of a patent exist in foreign patent offices and may result in the revocation, cancellation, or amendment of any foreign patents we hold in the future. The outcome following legal assertions of invalidity and unenforceability is unpredictable, and prior art could render our patents or those of our licensors invalid. If a defendant were to prevail on a legal assertion of invalidity and/or unenforceability, we could lose at least part, and perhaps all, of the patent protection on an affected product candidate. Such a loss of patent protection would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Interference or derivation proceedings provoked by third parties or brought by us or declared by the USPTO, or equivalent actions brought in foreign jurisdictions,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seriously harmed if the prevailing party does not offer us a license on commercially reasonable terms or at all, or if a non-exclusive license is offered and our competitors gain access to the same technology. Our defense of litigation or interference proceedings may fail and, even if successful, may result in substantial costs and distract our management and other employees. In addition,</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the uncertainties associated with litigation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and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may not be successful in obtaining or maintaining necessary rights to our product candidates through acquisitions and licenses.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currently have rights to the intellectual property, through licenses from third parties and under patents that we own, to develop our product candidates. Because our programs may require the use of proprietary rights held by third parties, the growth of our business will depend in part on our ability to acquire, license or use these proprietary rights. We may be unable to acquire or 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have collaborated with a U.S. academic institution and may in the future collaborate with U.S. and foreign academic institutions to accelerate our preclinical research or development under written agreements with these institutions. These institutions may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If we are unable to successfully obtain rights to required third-party intellectual property rights or maintain the existing intellectual property rights we have, we may have to abandon development of that program and our business could be seriously harmed.</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We may be subject to claims that we have wrongfully hired an employee from a competitor or that we, our employees or consultants have wrongfully used or disclosed alleged confidential information or trade secrets of their former or concurrent employers or former or current clients.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As is common in the biotechnology and biopharmaceutical industries,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biotechnology or biopharmaceutical companies, including our competitors or potential competitors. Although we try to ensure that our employees and consultants do not use the proprietary information or know-how of others in their work for us, we may become subject to claims that we, our employees or a consultant inadvertently or otherwise used or disclosed trade secrets or other information proprietary to their former employers or their former or current clients. We may also be subject to claims that patents and applications we have filed to protect inventions of our employees or consultants, even those related to one or more of our product candidates, are rightfully owned by their former or concurrent employer or former or current client. Litigation may be necessary to defend against these claims. If we fail in defending any such claims, in addition to paying monetary damages, we may lose valuable intellectual property rights, which could seriously harm our business. Even if we are successful in defending against these claims, litigation could result in substantial costs and be a distraction to our management and other employees.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color w:val="000000"/>
          <w:sz w:val="20"/>
        </w:rPr>
        <w:t>Risks Related to Our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are highly dependent on our key personnel, and if we are not successful in attracting, motivating and retaining highly qualified personnel, we may not be able to successfully implement our business strategy.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ability to compete in the highly competitive biotechnology and pharmaceutical industries depends upon our ability to attract, motivate and retain highly qualified managerial, scientific and medical personnel. The loss of the services provided by any of our executive officers, other key employees, and other scientific and medical advisors, and our inability to find suitable replacements, could result in delays in the development of our product candidates and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conduct our operations at our facilities in Emeryville, California, in a region that is headquarters to many other biopharmaceutical companies and many academic and research institutions. Competition for skilled personnel is intense and the turnover rate can be high, which may limit our ability to hire and retain highly qualified personnel on acceptable terms or at all. We expect that we may need to recruit talent from outside of our region, and doing so may be costly and difficult.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To induce valuable employees to remain at our company, in addition to salary and cash incentives, we have provided equity grants. The value to employees of these equity grants that vest over time may be significantly affected by movements in our stock price that are beyond our control, and may at any time be insufficient to counteract more lucrative offers from other companies. In addition, our employees are employed at-will, which means that any of our employees could leave our employment at any time, with or without notice. If we are unable to attract, incentivize and retain quality personnel on acceptable terms, or at all, it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will need to grow the size and capabilities of our organization, and we may experience difficulties in managing this growth.</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As our development plans and strategies evolve, we must add a significant number of additional managerial, operational, financial and other personnel. Future growth will impose significant added responsibilities on members of management,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identifying, recruiting, integrating, retaining and motivating additional employees; </w:t>
      </w:r>
    </w:p>
    <w:p>
      <w:pPr>
        <w:pStyle w:val="TextBody"/>
        <w:bidi w:val="0"/>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managing our internal development efforts effectively, including the clinical and FDA review process for our current and future product candidates, while complying with our contractual obligations to contractors and other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expanding our operational, financial and management controls, reporting systems and procedures;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managing increasing operational and managerial complexity. </w:t>
      </w:r>
    </w:p>
    <w:p>
      <w:pPr>
        <w:pStyle w:val="TextBody"/>
        <w:bidi w:val="0"/>
        <w:spacing w:before="240" w:after="283"/>
        <w:jc w:val="both"/>
        <w:rPr>
          <w:rFonts w:ascii="Times New Roman" w:hAnsi="Times New Roman"/>
          <w:sz w:val="20"/>
        </w:rPr>
      </w:pPr>
      <w:r>
        <w:rPr>
          <w:rFonts w:ascii="Arial" w:hAnsi="Arial"/>
          <w:color w:val="000000"/>
          <w:sz w:val="20"/>
        </w:rPr>
        <w:t>Our future financial performance and our ability to continue to develop and, if approved, commercialize our product candidates will depend, in part, on our ability to effectively manage any future growth. Our management may also have to divert a disproportionate amount of its attention away from day-to-day activities in order to manage these growth activities.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If we are not able to effectively expand our organization by hiring new employees and expanding our groups of consultants and contractors, we may not be able to successfully implement the tasks necessary to further develop our product candidates and, accordingly, may not achieve our research, development and commercialization goals.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Unfavorable global economic conditions could adversely affect our business, financial condition or results of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results of operations could be adversely affected by general conditions in the global economy and in the global financial markets. Portions of our future clinical trials may be conducted outside of the United States and unfavorable economic conditions resulting in the weakening of the U.S. dollar would make those clinical trials more costly to operate. Furthermore, a severe or prolonged economic downturn, including a recession or depression resulting from factors such as increased inflation or closure of or liquidity issues at financial institutions or other macro factors such as a pandemic or geopolitical tensions</w:t>
      </w:r>
      <w:r>
        <w:rPr>
          <w:rFonts w:ascii="Times New Roman" w:hAnsi="Times New Roman"/>
          <w:color w:val="FF0000"/>
          <w:sz w:val="20"/>
        </w:rPr>
        <w:t xml:space="preserve"> </w:t>
      </w:r>
      <w:r>
        <w:rPr>
          <w:rFonts w:ascii="Arial" w:hAnsi="Arial"/>
          <w:color w:val="000000"/>
          <w:sz w:val="20"/>
        </w:rPr>
        <w:t>could result in a variety of risks to our business, including weakened demand for our product candidates or any future product candidates, if approved, and our ability to raise additional capital when needed on acceptable terms, if at all. A weak or declining economy or political disruption, including any international trade disputes, could also strain our manufacturers or suppliers, possibly resulting in supply disruption, or cause our customers to delay making payments for our potential products. Any of the foregoing could seriously harm our business, and we cannot anticipate all of the ways in which the political or economic climate and financial market conditions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If we engage in acquisitions or strategic partnerships, this may increase our capital requirements, dilute our stockholders, cause us to incur debt or assume contingent liabilities and subject us to other risks.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may engage in various acquisitions and strategic partnerships in the future, including licensing or acquiring complementary products, intellectual property rights, technologies or businesses. Any acquisition or strategic partnership may entail numerous risks,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increased operating expenses and cash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assumption of indebtedness or contingent liabilities; </w:t>
      </w:r>
    </w:p>
    <w:p>
      <w:pPr>
        <w:pStyle w:val="TextBody"/>
        <w:bidi w:val="0"/>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issuance of our equity securities which would result in dilution to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assimilation of operations, intellectual property, products and product candidates of an acquired company, including difficulties associated with integrating new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diversion of our management’s attention from our existing product candidates and initiatives in pursuing such an acquisition or strategic partnership;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retention of key employees, the loss of key personnel, and uncertainties in our ability to maintain key business relationships;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risks and uncertainties associated with the other party to such a transaction, including the prospects of that party and their existing products or product candidates and regulatory approvals;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inability to generate revenue from acquired intellectual property, technology and/or products sufficient to meet our objectives or even to offset the associated transaction and maintenance costs. </w:t>
      </w:r>
    </w:p>
    <w:p>
      <w:pPr>
        <w:pStyle w:val="TextBody"/>
        <w:bidi w:val="0"/>
        <w:spacing w:before="240" w:after="283"/>
        <w:jc w:val="both"/>
        <w:rPr>
          <w:rFonts w:ascii="Times New Roman" w:hAnsi="Times New Roman"/>
          <w:sz w:val="20"/>
        </w:rPr>
      </w:pPr>
      <w:r>
        <w:rPr>
          <w:rFonts w:ascii="Arial" w:hAnsi="Arial"/>
          <w:color w:val="000000"/>
          <w:sz w:val="20"/>
        </w:rPr>
        <w:t>In addition, if we undertake such a transaction, we may incur large one-time expenses and acquire intangible assets that could result in significant future amortization expense.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Our information technology systems, or those used by our third-party research institution collaborators, CROs or other contractors or consultants, may fail or suffer security breaches and other disruptions.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collect and maintain information in digital form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clinical trial data, proprietary business information and personal information of our employees and contractors (collectively, “Confidential Information”). It is critical that we do so in a secure manner to maintain the confidentiality and integrity of such confidential information. Despite the implementation of security measures, our internal information technology systems and those of our collaborators, future CROs and other contractors and consultants may be vulnerable to attack, damage and interruption from computer viruses and malware (e.g. ransomware), malicious code, misconfigurations, “bugs” or other vulnerabilities, natural disasters, terrorism, war, telecommunication and electrical failures, hacking, cyberattacks, phishing attacks and other social engineering schemes, denial or degradation of service attacks, and sophisticated nation-state and nation-state supported actors.</w:t>
      </w:r>
    </w:p>
    <w:p>
      <w:pPr>
        <w:pStyle w:val="TextBody"/>
        <w:bidi w:val="0"/>
        <w:spacing w:before="240" w:after="283"/>
        <w:jc w:val="both"/>
        <w:rPr>
          <w:rFonts w:ascii="Times New Roman" w:hAnsi="Times New Roman"/>
          <w:sz w:val="20"/>
        </w:rPr>
      </w:pPr>
      <w:r>
        <w:rPr>
          <w:rFonts w:ascii="Arial" w:hAnsi="Arial"/>
          <w:color w:val="000000"/>
          <w:sz w:val="20"/>
        </w:rPr>
        <w:t>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We and our third party service providers and partners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experience security breaches that may remain undetected for an extended period. Even if identified, we may be unable to adequately investigate or remediate incidents or breaches due to attackers increasingly using tools and techniques, including artificial intelligence, that are designed to circumvent controls, to avoid detection, and to remove or obfuscate forensic evidence. Our third party service providers and partners are also subject to these heightened risks. The costs to us to investigate and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negative publicity and other harm to our business and our competitive position. There can also be no assurance that our and our collaborators’, future CROs’ and other contractors’ and</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consultants’ cybersecurity risk management program and processes, including policies, controls or procedures, will be fully implemented, complied with or effective in protecting our systems, networks and Confidential Information.</w:t>
      </w:r>
    </w:p>
    <w:p>
      <w:pPr>
        <w:pStyle w:val="TextBody"/>
        <w:bidi w:val="0"/>
        <w:spacing w:before="240" w:after="283"/>
        <w:jc w:val="both"/>
        <w:rPr>
          <w:rFonts w:ascii="Times New Roman" w:hAnsi="Times New Roman"/>
          <w:sz w:val="20"/>
        </w:rPr>
      </w:pPr>
      <w:r>
        <w:rPr>
          <w:rFonts w:ascii="Arial" w:hAnsi="Arial"/>
          <w:color w:val="000000"/>
          <w:sz w:val="20"/>
        </w:rPr>
        <w:t>We and certain of our service providers have experienced certain cyberattacks and security incidents from time to time. Although to our knowledge we have not experienced any significant system failure or security breach to date, if such an event were to occur and cause interruptions in our operations, it could result in a material disruption of our development programs and our business operations, whether due to a loss, corruption or unauthorized disclosure of our Confidential Information or other similar disruptions. For example, the loss of clinical trial data from completed, ongoing or future clinical trials could result in delays in our regulatory approval efforts and significantly increase our costs to recover or reproduce the data. If a security breach or other incident were to result in the unauthorized access to or unauthorized use, disclosure, release or other processing of clinical trial data or personal data, it may be necessary to notify individuals, governmental authorities, supervisory bodies, the media, and other parties pursuant to privacy and security laws.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Likewise, we rely on our third-party research institution collaborators for research and development of our product candidates and other third parties for the manufacture of our product candidates and to conduct clinical trials, and similar events relating to their information technology systems could also seriously harm our business. Any security compromise affecting us, our partners or our industry, whether real or perceived, could harm our reputation, erode confidence in the effectiveness of our security measures, and lead to regulatory scrutiny. To the extent that any disruption or security breach were to result in a loss of, or damage to, our data or systems, or inappropriate disclosure of Confidential Information, we could incur liability, our competitive position could be harmed, and the further development and commercialization of our product candidates could be delayed. Any losses, costs or liabilities may not be covered by, or may exceed the coverage limits of, any applicable insurance policies.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Furthermore, federal, state and international laws and regulations can expose us to enforcement actions and investigations by regulatory authorities, and potentially result in regulatory penalties, fines and significant legal liability, if our information technology security efforts fail. Any adverse impact to the availability, integrity or confidentiality of our or third-party systems or Confidential Information can result in legal claims or proceedings (such as class actions), regulatory investigations and enforcement actions, fines and penalties, negative reputational impacts that cause us to lose existing or future customers, and/or significant incident response, system restoration or remediation and future compliance costs. We may also be exposed to a risk of loss or litigation and potential liability, which could materially and adversely affect our business, results of operations or financial condition.</w:t>
      </w:r>
    </w:p>
    <w:p>
      <w:pPr>
        <w:pStyle w:val="TextBody"/>
        <w:bidi w:val="0"/>
        <w:spacing w:before="240" w:after="283"/>
        <w:jc w:val="both"/>
        <w:rPr>
          <w:rFonts w:ascii="Times New Roman" w:hAnsi="Times New Roman"/>
          <w:sz w:val="20"/>
        </w:rPr>
      </w:pPr>
      <w:r>
        <w:rPr>
          <w:rFonts w:ascii="Arial" w:hAnsi="Arial"/>
          <w:b/>
          <w:i/>
          <w:color w:val="000000"/>
          <w:sz w:val="20"/>
        </w:rPr>
        <w:t>Business disruptions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operations, and those of our CROs, CDMOs, suppliers,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partly uninsured. In addition, we rely on our third-party research institution collaborators for conducting research and development of our product candidates, and they may be affected by government shutdowns or withdrawn funding. The occurrence of any of these business disruptions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All of our operations including our corporate headquarters are located in multiple facilities in Emeryville, California. Damage or extended periods of interruption to our corporate, development or research facilities due to fire, earthquake and other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could be seriously harmed by such delays and interruption.</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Actual or perceived failures to comply with applicable data protection, privacy and security laws, regulations, standards and other requirements could adversely affect our business, results of operations, and financial condition.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in the United States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As our operations and business grow, we may become subject to or affected by new or additional data protection laws and regulations and face increased scrutiny or attention from regulatory authorities. In the United States, HIPAA, as amended by the Health Information Technology for Economic and Clinical Health Act of 2009, and regulations implemented thereunder (collectively, “HIPAA”), imposes, among other things, certain standards on certain health care providers, health plans, and health care clearinghouses, known as covered entities, as well as their business associates that perform certain services that involve creating, receiving, maintaining or transmitting individually identifiable health information for or on behalf of such covered entities, and their covered subcontractors.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Certain states have also adopted comparable privacy and security laws and regulations, which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customers and strategic partners. For example, the California Consumer Privacy Act, as amended by the California Privacy Rights Act (collectively,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Similar laws have passed in other states, reflecting a trend toward more stringent privacy legislation in the United States. The enactment of such laws could have potentially conflicting requirements that would make compliance challenging. In the event that we are subject to or affected by HIPAA, the CCPA or other domestic privacy and data protection laws, any liability from failure to comply with the requirements of these laws could adversely affect our financial condition.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Furthermore, in 2024, the National Security Division of the U.S. Department of Justice (“DOJ”) issued a new rule—referred to as the “Data Security Program” (“DSP”)—to implement Executive Order 14117 aimed at preventing access to “bulk U.S. sensitive personal data” and “government-related data” by “countries of concern” (including China, Russia, Iran, North Korea, Cuba, and Venezuela) and “covered persons” (as all such terms are defined in the DSP). Effective as of April 8, 2025, and fully enforceable as of July 9, 2025, the DSP imposes stringent obligations on companies within its scope and prohibits or restricts “covered data transactions” that grant countries of concern or covered persons access to bulk U.S. sensitive personal data or any amount of government-related data. The DSP is new, complex and has yet</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to be enforced, and as such, there is a risk that our interpretation of its applicability, scope, and requirements is incorrect, incomplete, or misapplied. Compliance with the DSP may require us to invest heavily in data security and compliance measures, such as implementing and complying with the Cybersecurity and Infrastructure Security Agency’s guidelines and other burdensome recordkeeping, reporting, and auditing requirements. It may also require us to implement new processes, stop or restrict certain data transfers, alter the geographic scope of our operations, cease doing business with certain third parties or using certain tools or vendors, or change how data flows throughout our business, any of which could materially impact our business operations or hinder our ability to grow our business. Finally, non-compliance with the DSP could result in significant civil or criminal penalties, which could materially adversely affect our business, results of operations, and financial condition.</w:t>
      </w:r>
    </w:p>
    <w:p>
      <w:pPr>
        <w:pStyle w:val="TextBody"/>
        <w:bidi w:val="0"/>
        <w:spacing w:before="240" w:after="283"/>
        <w:jc w:val="both"/>
        <w:rPr>
          <w:rFonts w:ascii="Arial" w:hAnsi="Arial"/>
          <w:color w:val="000000"/>
          <w:sz w:val="20"/>
        </w:rPr>
      </w:pPr>
      <w:r>
        <w:rPr>
          <w:rFonts w:ascii="Arial" w:hAnsi="Arial"/>
          <w:color w:val="000000"/>
          <w:sz w:val="20"/>
        </w:rPr>
        <w:t>In Europe, the European Union General Data Protection Regulation (the “EU GDPR”) and the United Kingdom General Data Protection Regulation and Data Protection Act 2018 (collectively, the “UK GDPR”) (the EU GDPR and UK GDPR together referred to as the “GDPR”) impose strict requirements for processing the personal data of individuals within the European Economic Area (“EEA”) and in the United Kingdom, respectively. Companies that must comply with the GDPR face increased compliance obligations and risk, including more robust regulatory enforcement of data protection requirements and potential fines for noncompliance of up to €20 million / £17.5 million or 4% of the annual global revenue of the noncompliant undertaking, whichever is greater. Since we are subject to the supervision of relevant data protection authorities under multiple legal regimes (including under both the EU GDPR and the UK GDPR), we could be fined under each of those regimes independently in respect of the same breach. In addition to fines, a breach of the GDPR may result in regulatory investigations, reputational damage, orders to cease or change our data processing activities, enforcement notices, assessment notices (for a compulsory audit) and/or civil claims (including class actions).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Court of Justice of the European Union (“CJEU”) states that reliance on the standard contractual clauses - a standard form of contract approved by the European Commission as an adequate personal data transfer mechanism - alone may not necessarily be sufficient in all circumstances and that transfers must be assessed on a case-by-case basis. We expect the existing legal complexity and uncertainty regarding international personal data transfers to continue. As the regulatory guidance and enforcement landscape in relation to data transfers continue to develop,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operate our business, the geographical location or segregation of our relevant systems and operations, and could adversely affect our financial results.</w:t>
      </w:r>
    </w:p>
    <w:p>
      <w:pPr>
        <w:pStyle w:val="TextBody"/>
        <w:bidi w:val="0"/>
        <w:spacing w:before="240" w:after="283"/>
        <w:jc w:val="both"/>
        <w:rPr>
          <w:rFonts w:ascii="Times New Roman" w:hAnsi="Times New Roman"/>
          <w:sz w:val="20"/>
        </w:rPr>
      </w:pPr>
      <w:r>
        <w:rPr>
          <w:rFonts w:ascii="Arial" w:hAnsi="Arial"/>
          <w:color w:val="000000"/>
          <w:sz w:val="20"/>
        </w:rPr>
        <w:t>Additionally, the Securities and Exchange Commission (the “SEC”) recently adopted a rule that enhances and standardizes disclosures regarding cybersecurity risk management and governance, as well as material cybersecurity incidents. Under this new rule, we will be required to make annual disclosures describing our processes for identifying and managing material cybersecurity risks, management’s role in assessing and managing such risks and our board of directors’ oversight of cybersecurity risks. We will also be required to disclose, in a Current Report on Form 8-K, the nature, scope and timing of any material cybersecurity incidents identified and the material impact or reasonably likely material impact on the company. We expect to face increased costs to comply with this new SEC cybersecurity rule, including increased costs for cybersecurity training and management.</w:t>
      </w:r>
      <w:r>
        <w:rPr>
          <w:rFonts w:ascii="Times New Roman" w:hAnsi="Times New Roman"/>
          <w:color w:val="D13438"/>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As we continue to expand into other foreign countries and jurisdictions, we may be subject to additional laws and regulations that may affect how we conduct business.</w:t>
      </w:r>
    </w:p>
    <w:p>
      <w:pPr>
        <w:pStyle w:val="TextBody"/>
        <w:bidi w:val="0"/>
        <w:spacing w:before="240" w:after="283"/>
        <w:jc w:val="both"/>
        <w:rPr>
          <w:rFonts w:ascii="Times New Roman" w:hAnsi="Times New Roman"/>
          <w:sz w:val="20"/>
        </w:rPr>
      </w:pPr>
      <w:r>
        <w:rPr>
          <w:rFonts w:ascii="Arial" w:hAnsi="Arial"/>
          <w:color w:val="000000"/>
          <w:sz w:val="20"/>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employees, representatives, contractors, consultants, CROs, collaborators, or other third parties to comply with such requirements or adequately address privacy and security concerns, even if unfounded, could result in additional cost and liability to us, damage our reputation, and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Our business may be affected by the evolving regulatory framework for AI Technologies.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use artificial intelligence (“AI”), machine learning, and automated decision-making technologies, (collectively, “AI Technologies”) in our business. We expect that increased investment will be required in the future to continuously improve our use of AI Technologies. As with many technological innovations, there are significant risks involved in developing, maintaining and deploying these technologies, including that AI-generated content, analyses, or recommendations we utilize could be deficient, that our competitors may more quickly or effectively adopt AI capabilities, or that our use of AI or other emerging technologies increases regulatory, cybersecurity and other significant risks. There can be no assurance that the usage of or our investments in such technologies will always enhance our products or services or be beneficial to our business, including our efficiency or profitability.</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In particular, if the models underlying our AI Technologies are: incorrectly designed or implemented; trained or reliant on incomplete, inadequate, inaccurate, biased or otherwise poor quality data, or on data to which we do not have sufficient rights or in relation to which we and/or the providers of such data have not implemented sufficient legal compliance measures; used without sufficient oversight and governance to ensure their responsible use; and/or adversely impacted by unforeseen defects, technical challenges, cybersecurity threats or material performance issues, the performance of our products, services and business, as well as our reputation, could suffer or we could incur liability resulting from the violation of laws or contracts to which we are a party or civil claims.</w:t>
      </w:r>
    </w:p>
    <w:p>
      <w:pPr>
        <w:pStyle w:val="TextBody"/>
        <w:bidi w:val="0"/>
        <w:spacing w:before="240" w:after="283"/>
        <w:jc w:val="both"/>
        <w:rPr>
          <w:rFonts w:ascii="Times New Roman" w:hAnsi="Times New Roman"/>
          <w:sz w:val="20"/>
        </w:rPr>
      </w:pPr>
      <w:r>
        <w:rPr>
          <w:rFonts w:ascii="Arial" w:hAnsi="Arial"/>
          <w:color w:val="000000"/>
          <w:sz w:val="20"/>
        </w:rPr>
        <w:t>We are in varying stages of development in relation to our products and internal business processes involving AI Technologies. The continuous development, maintenance and operation of our AI Technologies is expensive and complex, and may involve unforeseen difficulties including material performance problems, undetected defects or errors. For instance, the models underlying AI Technologies can experience decay (also known as “model drift”) in which its performance and accuracy decreases over time without further human intervention to correct such decay.</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may not be successful in our ongoing development and maintenance of these technologies in the face of novel and evolving technical, reputational and market factors. Our efforts to develop proprietary AI models could increase our operating costs. Our ability to develop proprietary AI models may be limited by our access to processing infrastructure or training data, and we may be dependent on third-party providers for such resources.</w:t>
      </w:r>
    </w:p>
    <w:p>
      <w:pPr>
        <w:pStyle w:val="TextBody"/>
        <w:bidi w:val="0"/>
        <w:spacing w:before="240" w:after="283"/>
        <w:jc w:val="both"/>
        <w:rPr>
          <w:rFonts w:ascii="Times New Roman" w:hAnsi="Times New Roman"/>
          <w:sz w:val="20"/>
        </w:rPr>
      </w:pPr>
      <w:r>
        <w:rPr>
          <w:rFonts w:ascii="Arial" w:hAnsi="Arial"/>
          <w:color w:val="000000"/>
          <w:sz w:val="20"/>
        </w:rPr>
        <w:t>The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our AI Technologies. As a result, implementation standards and enforcement practices are likely to remain uncertain for the foreseeable future, and we cannot yet determine the impact future laws, regulations, standards, or market perception of their requirements may have on our business and may not always be able to anticipate how to respond to these laws or regulations. Failure to appropriately respond to this evolving landscape may result in reputational, competitive and business harm as well as litigation and regulatory action and fines, penalties and expenses related thereto.</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It is possible that new laws and regulations will be adopted in the U.S.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expend resources to adjust our products or services in certain jurisdictions if the laws, regulations, or decisions are not consistent across jurisdictions. Further, the cost to comply with such laws, regulations, or decisions and/or guidance interpreting existing laws, could be significant and would increase our operating expenses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pStyle w:val="TextBody"/>
        <w:bidi w:val="0"/>
        <w:jc w:val="left"/>
        <w:rPr>
          <w:rFonts w:ascii="Times New Roman" w:hAnsi="Times New Roman"/>
          <w:sz w:val="20"/>
        </w:rPr>
      </w:pPr>
      <w:r>
        <w:rPr>
          <w:rFonts w:ascii="Arial" w:hAnsi="Arial"/>
          <w:b/>
          <w:i/>
          <w:color w:val="000000"/>
          <w:sz w:val="20"/>
        </w:rPr>
        <w:t>Our ability to use our net operating loss carryforwards and certain other tax attributes may be limited.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Under Sections 382 and 383 of the United States Internal Revenue Code of 1986, as amended (the “Code”), if a corporation undergoes an “ownership change” (generally defined as a greater than 50-percentage-point cumulative change (by value) in the equity ownership of certain stockholders over a rolling three-year period), the corporation’s ability to use its pre-change net operating loss carryforwards (“NOLs”) and other pre-change tax attributes to offset its post-change taxable income or taxes may be limited. If finalized, Treasury Regulations currently proposed under Section 382 of the Code may further limit our ability to utilize our pre-change NOLs or other pre-change tax attributes if we undergo a future ownership change. We have experienced ownership changes in the past. We may also experience ownership changes as a result of any future shifts in our stock ownership, some of which are outside our control. As a result, our ability to use our NOLs and other pre-change tax attributes to offset post-change taxable income or taxes may be subject to limitation. We will be unable to use our NOLs or other tax attributes if we do not attain profitability sufficient to offset our available NOLs or other tax attributes prior to their expiration, to the extent subject to expiration.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Changes in tax laws or regulations that are applied adversely to us or our customers may seriously harm our business.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New income, sales, use or other tax laws, statutes, rules, regulations or ordinances could be enacted at any time, which could affect the tax treatment of any of our future domestic and foreign earnings. Any new taxes could adversely affect our domestic and international business operations, and our business and financial performance. Further, existing tax laws, statutes, rules, regulations or ordinances could be interpreted, changed, modified or applied adversely to us.</w:t>
      </w:r>
    </w:p>
    <w:p>
      <w:pPr>
        <w:pStyle w:val="TextBody"/>
        <w:bidi w:val="0"/>
        <w:spacing w:before="240" w:after="283"/>
        <w:jc w:val="both"/>
        <w:rPr>
          <w:rFonts w:ascii="Times New Roman" w:hAnsi="Times New Roman"/>
          <w:sz w:val="20"/>
        </w:rPr>
      </w:pPr>
      <w:r>
        <w:rPr>
          <w:rFonts w:ascii="Arial" w:hAnsi="Arial"/>
          <w:b/>
          <w:color w:val="000000"/>
          <w:sz w:val="20"/>
        </w:rPr>
        <w:t>Risks Related to Ownership of Our Common Stock</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The market price of our common stock may be volatile, which could result in substantial losses for investors.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Some of the factors that may cause the market price of our common stock to fluctuate include: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results from, and any delays in, our clinical trials for our clinical-stage product candidates or any other future clinical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success of existing or new competitive products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commencement or termination of collaborations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failure or discontinuation of any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failure to develop our Therapeutic Vector Evolution platform technology;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results of preclinical studies, clinical trials or regulatory approvals of product candidates of our competitors, or announcements about new research programs or product candidates of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regulatory or legal developments in the United States and other countries, including sanctions imposed by either the U.S. or foreign governments;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developments or disputes concerning patent applications, issued patents or other proprietary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recruitment or departure of key personnel; </w:t>
      </w:r>
    </w:p>
    <w:p>
      <w:pPr>
        <w:pStyle w:val="TextBody"/>
        <w:bidi w:val="0"/>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commencement of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level of expenses related to any of the research programs or product candidates that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results of our efforts to develop additional product candidates or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actual or anticipated changes in estimates as to financial results, development timelines or recommendations by securities analysts;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announcement or expectation of additional financing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sales of our common stock by us, our insiders, or other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variations in our financial results or those of companies that are perceived to be similar to us;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changes in estimates or recommendations by securities analysts, if any, that cover our stock;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changes in the structure of healthcare payment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impact of political instability, natural disasters, war and/or events of terrorism, such as the war between Ukraine and Russia, and the corresponding tensions created from such conflict between Russia, the United States and countries in Europe as well as other countries such as China, and the ongoing war in the Middle East;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market conditions in the pharmaceutical and biotechnology sectors;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general economic, industry, and market conditions;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other factors described in this “Risk Factors” section. </w:t>
      </w:r>
    </w:p>
    <w:p>
      <w:pPr>
        <w:pStyle w:val="TextBody"/>
        <w:bidi w:val="0"/>
        <w:spacing w:before="240" w:after="283"/>
        <w:jc w:val="both"/>
        <w:rPr>
          <w:rFonts w:ascii="Times New Roman" w:hAnsi="Times New Roman"/>
          <w:sz w:val="20"/>
        </w:rPr>
      </w:pPr>
      <w:r>
        <w:rPr>
          <w:rFonts w:ascii="Arial" w:hAnsi="Arial"/>
          <w:color w:val="000000"/>
          <w:sz w:val="20"/>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Further, the stock market in general has been highly volatile due to macroeconomic factors such as higher inflation and increased interest rates and political uncertainty in the United States. Broad market and industry factors may seriously affect the market price of our common stock, regardless of our actual operating performance. Since the completion of our initial public offering in December 2020, the price of our common stock has been volatile, and we expect such volatility to continue.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If securities analysts do not publish research or reports about our business or if they publish negative evaluations of our stock, the price of our stock could decline.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trading market for our common stock relies in part on the research and reports that industry or financial analysts publish about us or our business. If one or more of these analysts should drop research coverage of us or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Sales of a substantial number of shares of our common stock in the public market could occur at any time, which could cause the market price of our common stock to decline significantly, even if our business is doing well.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Sales of a substantial number of shares of our common stock in the public market could occur at any time. These sales or the perception in the market that the holders of a large number of shares of our common stock intend to sell shares, could reduce the market price of our common stock.</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Further, shares issued upon the exercise of stock options outstanding under our equity incentive plans, or pursuant to future awards granted under those plans, will become available for sale in the public market to the extent permitted by the provisions of applicable vesting schedules and Rule 144 and Rule 701 under the Securities Act.</w:t>
      </w:r>
    </w:p>
    <w:p>
      <w:pPr>
        <w:pStyle w:val="TextBody"/>
        <w:bidi w:val="0"/>
        <w:spacing w:before="240" w:after="283"/>
        <w:jc w:val="both"/>
        <w:rPr>
          <w:rFonts w:ascii="Times New Roman" w:hAnsi="Times New Roman"/>
          <w:sz w:val="20"/>
        </w:rPr>
      </w:pPr>
      <w:r>
        <w:rPr>
          <w:rFonts w:ascii="Arial" w:hAnsi="Arial"/>
          <w:b/>
          <w:i/>
          <w:color w:val="000000"/>
          <w:sz w:val="20"/>
        </w:rPr>
        <w:t>Raising additional capital may cause dilution to our existing stockholders, restrict our operations or require us to relinquish rights to our technologies or product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will seek additional capital through one or a combination of public and private equity offerings, debt financings, strategic partnerships and alliances and licensing arrangements. We, and indirectly, our stockholders, will bear the cost of issuing and servicing such securities. Because our decision to issue debt or equity securities in any future offering will depend on market conditions and other factors beyond our control, we cannot predict or estimate the amount, timing or nature of any future offerings. To the extent that we raise additional capital through the sale of equity securities, your ownership interest will be diluted, and the terms may include liquidation or other preferences that adversely affect your rights as a stockholder. The incurrence of indebtedness would result in increased fixed payment obligations and could involve restrictive covenants, such as limitations on our ability to incur additional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limit our potential cash flow and revenue in the future. If we raise additional funds through strategic partnerships and alliances and licensing arrangements with third parties, we may have to relinquish valuable rights to our technologies or product candidates, or grant licenses on terms unfavorable to us.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Additionally, as of March 31, 2026, there are Pre-funded Warrants outstanding to purchase 16,935,665 shares of common stock, which are exercisable at a nominal exercise price. If holders of these Pre-funded Warrants exercise these securities, existing shareholders will suffer dilution to their voting power and the Company may experience dilution in its earnings per share, as well as a negative impact on its share price.</w:t>
      </w:r>
    </w:p>
    <w:p>
      <w:pPr>
        <w:pStyle w:val="TextBody"/>
        <w:bidi w:val="0"/>
        <w:spacing w:before="240" w:after="283"/>
        <w:jc w:val="both"/>
        <w:rPr>
          <w:rFonts w:ascii="Times New Roman" w:hAnsi="Times New Roman"/>
          <w:sz w:val="20"/>
        </w:rPr>
      </w:pPr>
      <w:r>
        <w:rPr>
          <w:rFonts w:ascii="Arial" w:hAnsi="Arial"/>
          <w:b/>
          <w:i/>
          <w:color w:val="000000"/>
          <w:sz w:val="20"/>
        </w:rPr>
        <w:t>Insiders have substantial influence over us, which could limit your ability to affect the outcome of key transactions, including a change of control.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directors, executive officers, holders of more than 5% of our outstanding stock and their respective affiliates beneficially own shares representing approximately 61% of our outstanding common stock as of March 31, 2026.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incur significant costs as a result of operating as a public company, and our management devotes substantial time to public company compliance initiatives. We may fail to comply with the rules that apply to public companies, including Section 404 of the Sarbanes-Oxley Act of 2002, which could result in sanctions or other penalties that would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incur significant legal, accounting and other expenses as a public company, including costs resulting from public company reporting obligations under the Exchange Act and regulations regarding corporate governance practices. The listing requirements of the Nasdaq Global Select Market and the rules of the SEC require that we satisfy certain corporate governance requirements relating to director independence, filing annual and interim reports, stockholder meetings, approvals and voting, soliciting proxies, conflicts of interest and a code of conduct. Our management and other personnel will need to devote a substantial amount of time to ensure that we comply with all of these requirements. Moreover, the reporting requirements, rules and regulations have and will likely continue to increase our legal and financial compliance costs and will make some activities more time-consuming and costly. Any changes we make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Section 404 of the Sarbanes-Oxley Act of 2002 (“Section 404”) requires an annual management assessment of the effectiveness of our internal control over financial reporting. While Section 404 also requires, among other things, that we assess the effectiveness of our internal control structure and procedures for financial reporting on an annual basis, for as long as we are a non-accelerated filer or a smaller reporting company, the registered public accounting firm that issues an audit report on our financial statements will not be required to attest to or report on the effectiveness of our internal control over financial reporting pursuant to Section 404. Our compliance with Section 404 requires that we incur substantial expense and expend significant management efforts.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During the course of our review and testing,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will be required to file accurate and timely quarterly and annual reports with the SEC under the Exchange Act. In order to report our results of operations and financial statements on an accurate and timely basis, we will depend in part on CROs to provide timely and accurate notice of their costs to us.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Provisions in our amended and restated certificate of incorporation and amended and restated bylaws and Delaware law might discourage, delay or prevent a change in control of our company or changes in our management and, therefore, depress the market price of our common stock.</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amended and restated certificate of incorporation and amended and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provide that vacancies on our board of directors may be filled only by a majority of directors then in office, even though less than a quorum;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eliminate cumulative voting in the election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authorize our board of directors to issue shares of preferred stock and determine the price and other terms of those shares, including preferences and voting rights, without stockholder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provide our board of directors with the exclusive right to elect a director to fill a vacancy or newly created directorship;</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provide that our directors may be removed only for cause;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permit stockholders to only take actions at a duly called annual or special meeting and not by written consent;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prohibit stockholders from calling a special meeting of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provide for a staggered board, which will result in only a few directors being up for re-election in each calendar year; </w:t>
      </w:r>
    </w:p>
    <w:p>
      <w:pPr>
        <w:pStyle w:val="TextBody"/>
        <w:bidi w:val="0"/>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require that stockholders give advance notice to nominate directors or submit proposals for consideration at stockholder meetings;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authorize our board of directors, by a majority vote, to amend the bylaws;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require the affirmative vote of at least 66 2/3% or more of the outstanding shares of our common stock to amend many of the provisions described above;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limit the liability of, and provide indemnification to, our directors and officers. </w:t>
      </w:r>
    </w:p>
    <w:p>
      <w:pPr>
        <w:pStyle w:val="TextBody"/>
        <w:bidi w:val="0"/>
        <w:spacing w:before="240" w:after="283"/>
        <w:jc w:val="both"/>
        <w:rPr>
          <w:rFonts w:ascii="Arial" w:hAnsi="Arial"/>
          <w:color w:val="000000"/>
          <w:sz w:val="20"/>
        </w:rPr>
      </w:pPr>
      <w:r>
        <w:rPr>
          <w:rFonts w:ascii="Arial" w:hAnsi="Arial"/>
          <w:color w:val="000000"/>
          <w:sz w:val="20"/>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pStyle w:val="TextBody"/>
        <w:bidi w:val="0"/>
        <w:spacing w:before="240" w:after="283"/>
        <w:jc w:val="both"/>
        <w:rPr>
          <w:rFonts w:ascii="Times New Roman" w:hAnsi="Times New Roman"/>
          <w:sz w:val="20"/>
        </w:rPr>
      </w:pPr>
      <w:r>
        <w:rPr>
          <w:rFonts w:ascii="Arial" w:hAnsi="Arial"/>
          <w:color w:val="000000"/>
          <w:sz w:val="20"/>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Claims for indemnification by our directors and officers may reduce our available funds to satisfy successful third-party claims against us and may reduce the amount of money available to us.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amended and restated certificate of incorporation and amended and restated bylaws provide that we will indemnify our directors and officers, in each case to the fullest extent permitted by Delaware law.</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addition, as permitted by Section 145 of the Delaware General Corporation Law, our amended and restated bylaws and our indemnification agreements that we have entered into with our directors and officers provide that:</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in our discretion, indemnify employees and agents in those circumstances where indemnification is permitted by applicable law.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rights conferred in our amended and restated bylaws are not exclusive, and we are authorized to enter into indemnification agreements with our directors, officers, employees and agents and to obtain insurance to indemnify such persons.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not retroactively amend our amended and restated bylaw provisions to reduce our indemnification obligations to directors, officers, employees and agents. </w:t>
      </w:r>
    </w:p>
    <w:p>
      <w:pPr>
        <w:pStyle w:val="TextBody"/>
        <w:bidi w:val="0"/>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Our amended and restated certificate of incorporation and amended and restated bylaws provide that the Court of Chancery of the State of Delaware will be the exclusive forum for certain disputes between us and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amended and restated certificate of incorporation and amended and restated bylaws provide that, unless we consent in writing to the selection of an alternative forum, the Court of Chancery of the State of Delaware (or, in the event that the Court of Chancery does not have jurisdiction, the federal district court for the District of Delaware or other state courts of the State of Delaware) shall, to the fullest extent permitted by law, by the sole and exclusive forum for any derivative action or proceeding brought on our behalf, any action asserting a claim of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and amended and restated bylaws also provide that the federal district courts of the United States of America will be the exclusive forum for the resolution of any complaint asserting a cause of action arising under the Securities Act, including all causes of action asserted against any defendant to such complaint. Nothing in our amended and restated certificate of incorporation and amended and restated bylaws precludes stockholders that assert claims under the Exchange Act from bringing such claims in state or federal court, subject to applicable law.</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the choice of forum provision that will be contained in our amended and restated certificate of incorporation and amended and restated bylaws to be inapplicable or unenforceable in an action, we may incur additional costs associated with resolving such action in other jurisdictions, which could seriously harm our business. Any person or entity purchasing or otherwise acquiring any interest in our shares of capital stock shall be deemed to have notice of and consented to this exclusive forum provision, but will not be deemed to have waived our compliance with the federal securities laws and the rules and regulations thereunder.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do not currently intend to pay dividends on our common stock, and, consequently, your ability to achieve a return on your investment will depend on appreciation in the price of our common stock.</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do not currently intend to pay any cash dividends on our common stock for the foreseeable future. We currently intend to invest our future earnings, if any, to fund our growth. Therefore, you are not likely to receive any dividends on your common stock for the foreseeable future. Since we do not intend to pay dividends, your ability to receive a return on your investment will depend on any future appreciation in</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the market value of our common stock. There is no guarantee that our common stock will appreciate or even maintain the price at which our holders have purchased it.</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Unfavorable conditions in the global economy caused by global political unrest or conflicts, including the ongoing conflict between Russia and Ukraine and in the Middle East, may exacerbate certain risks we face.</w:t>
      </w:r>
    </w:p>
    <w:p>
      <w:pPr>
        <w:pStyle w:val="TextBody"/>
        <w:bidi w:val="0"/>
        <w:spacing w:before="240" w:after="283"/>
        <w:jc w:val="both"/>
        <w:rPr>
          <w:rFonts w:ascii="Arial" w:hAnsi="Arial"/>
          <w:color w:val="000000"/>
          <w:sz w:val="20"/>
        </w:rPr>
      </w:pPr>
      <w:r>
        <w:rPr>
          <w:rFonts w:ascii="Arial" w:hAnsi="Arial"/>
          <w:color w:val="000000"/>
          <w:sz w:val="20"/>
        </w:rPr>
        <w:t>Political unrest, international conflict, terrorism or war, such as Russia’s invasion of Ukraine and the armed conflict in the Middle East, and the global response to these conflicts, including the imposition of sanctions by the United States and other countries, could create or exacerbate risks facing our business. We have evaluated our operations and partner contracts, and we currently do not expect existing conflicts to directly have a significant effect on our financial condition or results of operations. However, if hostilities persist, escalate or expand, risks that we have identified in this Annual Report on Form 10-K may be materially increased. For example, if our supply arrangements or clinical operations are disrupted due to expanded sanctions or involvement of countries where we have operations or relationships, our business could be materially disrupted. Further, the use of cyberattacks could expand as part of the ongoing conflicts, which could adversely affect our ability to maintain or enhance our cyber security measures. These and other risks are described more fully in this “Risk Factors” section.</w:t>
      </w:r>
    </w:p>
    <w:p>
      <w:pPr>
        <w:pStyle w:val="TextBody"/>
        <w:bidi w:val="0"/>
        <w:spacing w:before="240" w:after="283"/>
        <w:jc w:val="both"/>
        <w:rPr>
          <w:rFonts w:ascii="Times New Roman" w:hAnsi="Times New Roman"/>
          <w:sz w:val="20"/>
        </w:rPr>
      </w:pPr>
      <w:r>
        <w:rPr>
          <w:rFonts w:ascii="Arial" w:hAnsi="Arial"/>
          <w:b/>
          <w:color w:val="000000"/>
          <w:sz w:val="20"/>
        </w:rPr>
        <w:t>General Risk Factors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Any legal proceedings or claims against us could be costly and time-consuming to defend and could harm our reputation regardless of the outcome.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may in the future become subject to legal proceedings and claims that arise in the ordinary course of business, such as disputes or employment claims made by our current or former employees. Any litigation, whether meritorious or not, could harm our reputation, increase our costs and may divert management’s attention, time and resources, which may in turn seriously harm our business.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and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If product liability lawsuits are brought against us, we may incur substantial liabilities and may be required to limit commercialization of our product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face an inherent risk of product liability as a result of the clinical testing of our product candidates and will face an even greater risk when and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cease commercialization of our product candidates. Even successful defense would require significant financial and management resources. Regardless of the merits or eventual outcome, liability claims may result in:</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decreased or interrupted demand for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substantial monetary awards to trial participants or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product recalls, withdrawals or labeling, marketing or promotional restrictions;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injury to our reputation;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withdrawal of clinical trial participants and inability to continue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initiation of investigations by regulators; </w:t>
      </w:r>
    </w:p>
    <w:p>
      <w:pPr>
        <w:pStyle w:val="TextBody"/>
        <w:bidi w:val="0"/>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costs to defend the related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 diversion of management’s time and our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loss of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exhaustion of any available insurance and our capital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inability to commercialize any product candidate;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 decline in our share price. </w:t>
      </w:r>
    </w:p>
    <w:p>
      <w:pPr>
        <w:pStyle w:val="TextBody"/>
        <w:bidi w:val="0"/>
        <w:spacing w:before="240" w:after="283"/>
        <w:jc w:val="both"/>
        <w:rPr>
          <w:rFonts w:ascii="Times New Roman" w:hAnsi="Times New Roman"/>
          <w:sz w:val="20"/>
        </w:rPr>
      </w:pPr>
      <w:r>
        <w:rPr>
          <w:rFonts w:ascii="Arial" w:hAnsi="Arial"/>
          <w:color w:val="000000"/>
          <w:sz w:val="20"/>
        </w:rPr>
        <w:t>Our inability to obtain sufficient product liability insurance at an acceptable cost to protect against potential product liability claims could prevent or inhibit the commercialization of products we develop, alone or with collaborators.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Our employees, independent contractors, consultants, research or commercial partners or collaborators and vendors may engage in misconduct or other improper activities, including noncompliance with regulatory standards and requirements.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are exposed to the risk of fraud, misconduct or other illegal activity by our employees, independent contractors, consultants, research or commercial partners or other collaborators, including the foundations we work with, and vendors. Misconduct by these parties could include intentional, reckless and negligent conduct that fails to: comply with the laws of the FDA, EMA and other comparable foreign regulatory authorities; provide true, complete and accurate information to the FDA, EMA and other comparable foreign regulatory authorities;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In particular, research, sales, marketing, education and other business arrangements in the healthcare industry are subject to extensive laws designed to prevent fraud, kickbacks, self-dealing and other abusive practices. These laws and regulations may restrict or prohibit a wide range of pricing, discounting, educating, marketing and promotion, sales and commission, certain customer incentive programs and other business arrangements generally. Activities subject to these laws also involve the improper use of information obtained in the course of patient recruitment for clinical trials, which could result in regulatory sanctions and cause serious harm to our reputation.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In addition, we are subject to the risk that a person or government could allege such fraud or other misconduct, even if none occurred. If any such actions are instituted against us, and we are not successful in defending ourselves or asserting our rights, those actions could seriously harm our business, including the imposition of significant fines or other sanctions.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If we or any contract manufacturers and suppliers we engage fail to comply with environmental, health, and safety laws and regulations, we could become subject to fines or penalties or incur costs that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hazardous and regulated materials and wastes; the emission and discharge of hazardous materials into the ground, air and water; and employee health and safety. Our operations involve the use of hazardous and flammable materials, including chemicals and biological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seriously harm our business.</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Our business could be negatively impacted by corporate citizenship and ESG matters and/or our reporting of such matters.</w:t>
      </w:r>
    </w:p>
    <w:p>
      <w:pPr>
        <w:pStyle w:val="TextBody"/>
        <w:bidi w:val="0"/>
        <w:spacing w:before="240" w:after="283"/>
        <w:jc w:val="both"/>
        <w:rPr>
          <w:rFonts w:ascii="Arial" w:hAnsi="Arial"/>
          <w:color w:val="000000"/>
          <w:sz w:val="20"/>
        </w:rPr>
      </w:pPr>
      <w:r>
        <w:rPr>
          <w:rFonts w:ascii="Arial" w:hAnsi="Arial"/>
          <w:color w:val="000000"/>
          <w:sz w:val="20"/>
        </w:rPr>
        <w:t>Institutional, individual, and other investors, proxy advisory services, regulatory authorities, consumers and other stakeholders have increasingly focused on environmental, social and governance (“ESG”) practices of companies. As we look to respond to evolving standards for identifying, measuring, and reporting ESG metrics, our efforts may result in a significant increase in costs and may nevertheless not meet investor or other stakeholder expectations and evolving standards or regulatory requirements, which may negatively impact our financial results, our reputation, our ability to attract or retain employees, our attractiveness as an investment or business partner, or expose us to government enforcement actions, private litigation, and actions by stockholders or stakeholders.</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
        </w:rPr>
        <w:br/>
      </w:r>
      <w:r>
        <w:rPr>
          <w:rFonts w:ascii="Times New Roman" w:hAnsi="Times New Roman"/>
          <w:color w:val="000000"/>
          <w:sz w:val="20"/>
        </w:rPr>
        <w:t> </w:t>
      </w:r>
    </w:p>
    <w:p>
      <w:pPr>
        <w:pStyle w:val="TextBody"/>
        <w:bidi w:val="0"/>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bookmarkStart w:id="16" w:name="unregistered_sales_of_securities"/>
      <w:bookmarkEnd w:id="16"/>
      <w:r>
        <w:rPr>
          <w:rFonts w:ascii="Arial" w:hAnsi="Arial"/>
          <w:b/>
          <w:color w:val="000000"/>
          <w:sz w:val="20"/>
        </w:rPr>
        <w:t>Item 2. Unregistered Sales of Equity Securities and Use of Proceeds</w:t>
      </w:r>
      <w:r>
        <w:rPr>
          <w:rFonts w:ascii="Times New Roman" w:hAnsi="Times New Roman"/>
          <w:color w:val="000000"/>
          <w:sz w:val="20"/>
        </w:rPr>
        <w:t xml:space="preserve"> </w:t>
      </w:r>
    </w:p>
    <w:p>
      <w:pPr>
        <w:pStyle w:val="TextBody"/>
        <w:bidi w:val="0"/>
        <w:spacing w:before="240" w:after="283"/>
        <w:jc w:val="both"/>
        <w:rPr>
          <w:rFonts w:ascii="Arial" w:hAnsi="Arial"/>
          <w:b/>
          <w:color w:val="000000"/>
          <w:sz w:val="20"/>
        </w:rPr>
      </w:pPr>
      <w:r>
        <w:rPr>
          <w:rFonts w:ascii="Arial" w:hAnsi="Arial"/>
          <w:b/>
          <w:color w:val="000000"/>
          <w:sz w:val="20"/>
        </w:rPr>
        <w:t>Recent Sales of Unregistered Securities</w:t>
      </w:r>
    </w:p>
    <w:p>
      <w:pPr>
        <w:pStyle w:val="TextBody"/>
        <w:bidi w:val="0"/>
        <w:spacing w:before="240" w:after="283"/>
        <w:jc w:val="both"/>
        <w:rPr>
          <w:rFonts w:ascii="Arial" w:hAnsi="Arial"/>
          <w:color w:val="000000"/>
          <w:sz w:val="20"/>
        </w:rPr>
      </w:pPr>
      <w:r>
        <w:rPr>
          <w:rFonts w:ascii="Arial" w:hAnsi="Arial"/>
          <w:color w:val="000000"/>
          <w:sz w:val="20"/>
        </w:rPr>
        <w:t>Not applicable.</w:t>
      </w:r>
    </w:p>
    <w:p>
      <w:pPr>
        <w:pStyle w:val="TextBody"/>
        <w:bidi w:val="0"/>
        <w:spacing w:before="240" w:after="283"/>
        <w:jc w:val="both"/>
        <w:rPr>
          <w:rFonts w:ascii="Times New Roman" w:hAnsi="Times New Roman"/>
          <w:sz w:val="20"/>
        </w:rPr>
      </w:pPr>
      <w:r>
        <w:rPr>
          <w:rFonts w:ascii="Arial" w:hAnsi="Arial"/>
          <w:b/>
          <w:color w:val="000000"/>
          <w:sz w:val="20"/>
        </w:rPr>
        <w:t>Use of Proceeds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Not applicable.</w:t>
      </w:r>
    </w:p>
    <w:p>
      <w:pPr>
        <w:pStyle w:val="TextBody"/>
        <w:bidi w:val="0"/>
        <w:spacing w:before="240" w:after="283"/>
        <w:jc w:val="both"/>
        <w:rPr>
          <w:rFonts w:ascii="Arial" w:hAnsi="Arial"/>
          <w:b/>
          <w:color w:val="000000"/>
          <w:sz w:val="20"/>
        </w:rPr>
      </w:pPr>
      <w:bookmarkStart w:id="17" w:name="default_upon_senior_securities"/>
      <w:bookmarkEnd w:id="17"/>
      <w:r>
        <w:rPr>
          <w:rFonts w:ascii="Arial" w:hAnsi="Arial"/>
          <w:b/>
          <w:color w:val="000000"/>
          <w:sz w:val="20"/>
        </w:rPr>
        <w:t>Item 3. Defaults Upon Senior Securities</w:t>
      </w:r>
    </w:p>
    <w:p>
      <w:pPr>
        <w:pStyle w:val="TextBody"/>
        <w:bidi w:val="0"/>
        <w:spacing w:before="240" w:after="283"/>
        <w:jc w:val="both"/>
        <w:rPr>
          <w:rFonts w:ascii="Arial" w:hAnsi="Arial"/>
          <w:color w:val="000000"/>
          <w:sz w:val="20"/>
        </w:rPr>
      </w:pPr>
      <w:r>
        <w:rPr>
          <w:rFonts w:ascii="Arial" w:hAnsi="Arial"/>
          <w:color w:val="000000"/>
          <w:sz w:val="20"/>
        </w:rPr>
        <w:t>None.</w:t>
      </w:r>
    </w:p>
    <w:p>
      <w:pPr>
        <w:pStyle w:val="TextBody"/>
        <w:bidi w:val="0"/>
        <w:spacing w:before="240" w:after="283"/>
        <w:jc w:val="both"/>
        <w:rPr>
          <w:rFonts w:ascii="Arial" w:hAnsi="Arial"/>
          <w:b/>
          <w:color w:val="000000"/>
          <w:sz w:val="20"/>
        </w:rPr>
      </w:pPr>
      <w:bookmarkStart w:id="18" w:name="mine_safety_disclosures"/>
      <w:bookmarkEnd w:id="18"/>
      <w:r>
        <w:rPr>
          <w:rFonts w:ascii="Arial" w:hAnsi="Arial"/>
          <w:b/>
          <w:color w:val="000000"/>
          <w:sz w:val="20"/>
        </w:rPr>
        <w:t>Item 4. Mine Safety Disclosures.</w:t>
      </w:r>
    </w:p>
    <w:p>
      <w:pPr>
        <w:pStyle w:val="TextBody"/>
        <w:bidi w:val="0"/>
        <w:spacing w:before="240" w:after="283"/>
        <w:jc w:val="both"/>
        <w:rPr>
          <w:rFonts w:ascii="Arial" w:hAnsi="Arial"/>
          <w:color w:val="000000"/>
          <w:sz w:val="20"/>
        </w:rPr>
      </w:pPr>
      <w:r>
        <w:rPr>
          <w:rFonts w:ascii="Arial" w:hAnsi="Arial"/>
          <w:color w:val="000000"/>
          <w:sz w:val="20"/>
        </w:rPr>
        <w:t>Not applicable.</w:t>
      </w:r>
    </w:p>
    <w:p>
      <w:pPr>
        <w:pStyle w:val="TextBody"/>
        <w:bidi w:val="0"/>
        <w:spacing w:before="240" w:after="283"/>
        <w:jc w:val="both"/>
        <w:rPr>
          <w:rFonts w:ascii="Times New Roman" w:hAnsi="Times New Roman"/>
          <w:sz w:val="20"/>
        </w:rPr>
      </w:pPr>
      <w:bookmarkStart w:id="19" w:name="other_information"/>
      <w:bookmarkEnd w:id="19"/>
      <w:r>
        <w:rPr>
          <w:rFonts w:ascii="Arial" w:hAnsi="Arial"/>
          <w:b/>
          <w:color w:val="000000"/>
          <w:sz w:val="20"/>
        </w:rPr>
        <w:t>Item 5. Other Information.</w:t>
      </w:r>
      <w:r>
        <w:rPr>
          <w:rFonts w:ascii="Times New Roman" w:hAnsi="Times New Roman"/>
          <w:color w:val="000000"/>
          <w:sz w:val="20"/>
        </w:rPr>
        <w:t xml:space="preserve"> </w:t>
      </w:r>
    </w:p>
    <w:p>
      <w:pPr>
        <w:pStyle w:val="TextBody"/>
        <w:bidi w:val="0"/>
        <w:spacing w:before="240" w:after="283"/>
        <w:jc w:val="both"/>
        <w:rPr>
          <w:rFonts w:ascii="Arial" w:hAnsi="Arial"/>
          <w:i/>
          <w:color w:val="000000"/>
          <w:sz w:val="20"/>
        </w:rPr>
      </w:pPr>
      <w:r>
        <w:rPr>
          <w:rFonts w:ascii="Arial" w:hAnsi="Arial"/>
          <w:i/>
          <w:color w:val="000000"/>
          <w:sz w:val="20"/>
        </w:rPr>
        <w:t>Insider Trading Arrangements</w:t>
      </w:r>
    </w:p>
    <w:p>
      <w:pPr>
        <w:pStyle w:val="TextBody"/>
        <w:bidi w:val="0"/>
        <w:spacing w:before="240" w:after="283"/>
        <w:jc w:val="both"/>
        <w:rPr>
          <w:rFonts w:ascii="Arial" w:hAnsi="Arial"/>
          <w:color w:val="000000"/>
          <w:sz w:val="20"/>
        </w:rPr>
      </w:pPr>
      <w:r>
        <w:rPr>
          <w:rFonts w:ascii="Arial" w:hAnsi="Arial"/>
          <w:color w:val="000000"/>
          <w:sz w:val="20"/>
        </w:rPr>
        <w:t>During the fiscal quarter ended March 31, 2026, the following officer, as defined in Rule 16a-1(f), adopted a “Rule 10b5-1 trading arrangement,” as defined in Regulation S-K Item 408, as follows:</w:t>
      </w:r>
    </w:p>
    <w:p>
      <w:pPr>
        <w:pStyle w:val="TextBody"/>
        <w:bidi w:val="0"/>
        <w:spacing w:before="240" w:after="283"/>
        <w:jc w:val="both"/>
        <w:rPr>
          <w:rFonts w:ascii="Times New Roman" w:hAnsi="Times New Roman"/>
          <w:sz w:val="20"/>
        </w:rPr>
      </w:pPr>
      <w:r>
        <w:rPr>
          <w:rFonts w:ascii="Arial" w:hAnsi="Arial"/>
          <w:color w:val="000000"/>
          <w:sz w:val="20"/>
        </w:rPr>
        <w:t>On January 9, 2026, David Kirn, M.D., our President and Chief Executive Officer, adopted</w:t>
      </w:r>
      <w:r>
        <w:rPr>
          <w:rFonts w:ascii="Times New Roman" w:hAnsi="Times New Roman"/>
          <w:color w:val="000000"/>
          <w:sz w:val="20"/>
        </w:rPr>
        <w:t xml:space="preserve"> </w:t>
      </w:r>
      <w:r>
        <w:rPr>
          <w:rFonts w:ascii="Arial" w:hAnsi="Arial"/>
          <w:color w:val="000000"/>
          <w:sz w:val="20"/>
        </w:rPr>
        <w:t>a Rule 10b5-1 trading arrangement providing for the potential sale from time to time of up to 450,000</w:t>
      </w:r>
      <w:r>
        <w:rPr>
          <w:rFonts w:ascii="Times New Roman" w:hAnsi="Times New Roman"/>
          <w:color w:val="000000"/>
          <w:sz w:val="20"/>
        </w:rPr>
        <w:t xml:space="preserve"> </w:t>
      </w:r>
      <w:r>
        <w:rPr>
          <w:rFonts w:ascii="Arial" w:hAnsi="Arial"/>
          <w:color w:val="000000"/>
          <w:sz w:val="20"/>
        </w:rPr>
        <w:t>shares of our common stock. The trading arrangement is intended to satisfy the affirmative defense in Rule 10b5-1(c). The duration</w:t>
      </w:r>
      <w:r>
        <w:rPr>
          <w:rFonts w:ascii="Times New Roman" w:hAnsi="Times New Roman"/>
          <w:color w:val="000000"/>
          <w:sz w:val="20"/>
        </w:rPr>
        <w:t xml:space="preserve"> </w:t>
      </w:r>
      <w:r>
        <w:rPr>
          <w:rFonts w:ascii="Arial" w:hAnsi="Arial"/>
          <w:color w:val="000000"/>
          <w:sz w:val="20"/>
        </w:rPr>
        <w:t>of the trading arrangement is until November 30, 2026.</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None of our other directors or officers (as defined in Section 16 of the Exchange Act adopted or terminated any contract, instruction or written plan for the purchase or sale of our securities that was intended to satisfy the affirmative defense conditions of Rule 10b5-1(c) or any “non-Rule 10b5-1 trading arrangement,” as defined in Item 408(a) of Regulation S-K.</w:t>
      </w:r>
    </w:p>
    <w:p>
      <w:pPr>
        <w:pStyle w:val="TextBody"/>
        <w:bidi w:val="0"/>
        <w:spacing w:before="240" w:after="283"/>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color w:val="000000"/>
          <w:sz w:val="20"/>
        </w:rPr>
      </w:pPr>
      <w:bookmarkStart w:id="20" w:name="exhibits"/>
      <w:bookmarkEnd w:id="20"/>
      <w:r>
        <w:rPr>
          <w:rFonts w:ascii="Arial" w:hAnsi="Arial"/>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1"/>
        <w:gridCol w:w="146"/>
        <w:gridCol w:w="5903"/>
        <w:gridCol w:w="146"/>
        <w:gridCol w:w="546"/>
        <w:gridCol w:w="146"/>
        <w:gridCol w:w="642"/>
        <w:gridCol w:w="146"/>
        <w:gridCol w:w="736"/>
        <w:gridCol w:w="146"/>
        <w:gridCol w:w="857"/>
      </w:tblGrid>
      <w:tr>
        <w:trPr/>
        <w:tc>
          <w:tcPr>
            <w:tcW w:w="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r>
      <w:tr>
        <w:trPr/>
        <w:tc>
          <w:tcPr>
            <w:tcW w:w="7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16" w:type="dxa"/>
            <w:gridSpan w:val="5"/>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Incorporated by Reference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57"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791"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Exhibit</w:t>
            </w:r>
          </w:p>
          <w:p>
            <w:pPr>
              <w:pStyle w:val="TableContents"/>
              <w:bidi w:val="0"/>
              <w:spacing w:before="0" w:after="283"/>
              <w:jc w:val="center"/>
              <w:rPr>
                <w:rFonts w:ascii="Arial" w:hAnsi="Arial"/>
                <w:b/>
                <w:color w:val="000000"/>
                <w:sz w:val="16"/>
              </w:rPr>
            </w:pPr>
            <w:r>
              <w:rPr>
                <w:rFonts w:ascii="Arial" w:hAnsi="Arial"/>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90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Exhibit 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4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57"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Filed</w:t>
            </w:r>
          </w:p>
          <w:p>
            <w:pPr>
              <w:pStyle w:val="TableContents"/>
              <w:bidi w:val="0"/>
              <w:spacing w:before="0" w:after="283"/>
              <w:jc w:val="center"/>
              <w:rPr>
                <w:rFonts w:ascii="Arial" w:hAnsi="Arial"/>
                <w:b/>
                <w:color w:val="000000"/>
                <w:sz w:val="16"/>
              </w:rPr>
            </w:pPr>
            <w:r>
              <w:rPr>
                <w:rFonts w:ascii="Arial" w:hAnsi="Arial"/>
                <w:b/>
                <w:color w:val="000000"/>
                <w:sz w:val="16"/>
              </w:rPr>
              <w:t>Herewith</w:t>
            </w:r>
          </w:p>
        </w:tc>
      </w:tr>
      <w:tr>
        <w:trPr/>
        <w:tc>
          <w:tcPr>
            <w:tcW w:w="7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03"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Arial" w:hAnsi="Arial"/>
                  <w:color w:val="0000FF"/>
                  <w:sz w:val="20"/>
                  <w:u w:val="single"/>
                </w:rPr>
                <w:t>Amended and Restated Certificate of Incorporation, as currently in effect.</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12/15/20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03"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Arial" w:hAnsi="Arial"/>
                  <w:color w:val="0000FF"/>
                  <w:sz w:val="20"/>
                  <w:u w:val="single"/>
                </w:rPr>
                <w:t>Amended and Restated Bylaws, as currently in effect.</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10/02/25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03"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Arial" w:hAnsi="Arial"/>
                  <w:color w:val="0000FF"/>
                  <w:sz w:val="20"/>
                  <w:u w:val="single"/>
                </w:rPr>
                <w:t>Description of Securities of the Registrant.</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3/18/2026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03"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Arial" w:hAnsi="Arial"/>
                  <w:color w:val="0000FF"/>
                  <w:sz w:val="20"/>
                  <w:u w:val="single"/>
                </w:rPr>
                <w:t>Form of Common Stock Certificate.</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12/7/20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03"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Arial" w:hAnsi="Arial"/>
                  <w:color w:val="0000FF"/>
                  <w:sz w:val="20"/>
                  <w:u w:val="single"/>
                </w:rPr>
                <w:t>Form of Pre-Funded Warrant issued in conjunction with February 2024 offering.</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2/9/24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03"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Arial" w:hAnsi="Arial"/>
                  <w:color w:val="0000FF"/>
                  <w:sz w:val="20"/>
                  <w:u w:val="single"/>
                </w:rPr>
                <w:t>Form of Pre-Funded Warrant issued in conjunction with November 2024 exchange.</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11/13/24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4.5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03"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Arial" w:hAnsi="Arial"/>
                  <w:color w:val="0000FF"/>
                  <w:sz w:val="20"/>
                  <w:u w:val="single"/>
                </w:rPr>
                <w:t>Form of Pre-Funded Warrant issued in conjunction with December 2024 exchange.</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12/11/24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4.6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03"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Arial" w:hAnsi="Arial"/>
                  <w:color w:val="0000FF"/>
                  <w:sz w:val="20"/>
                  <w:u w:val="single"/>
                </w:rPr>
                <w:t>Form of Pre-Funded Warrant issued in conjunction with November 2025 Offering.</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11/7/25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4.7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03"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Arial" w:hAnsi="Arial"/>
                  <w:color w:val="0000FF"/>
                  <w:sz w:val="20"/>
                  <w:u w:val="single"/>
                </w:rPr>
                <w:t>Form of Pre-Funded Warrant issued in conjunction with January 2026 Exchange.</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1/26/26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03" w:type="dxa"/>
            <w:tcBorders/>
            <w:tcMar>
              <w:top w:w="0" w:type="dxa"/>
              <w:left w:w="0" w:type="dxa"/>
              <w:bottom w:w="0" w:type="dxa"/>
              <w:right w:w="0" w:type="dxa"/>
            </w:tcMar>
            <w:vAlign w:val="center"/>
          </w:tcPr>
          <w:p>
            <w:pPr>
              <w:pStyle w:val="TableContents"/>
              <w:bidi w:val="0"/>
              <w:spacing w:before="0" w:after="283"/>
              <w:jc w:val="left"/>
              <w:rPr/>
            </w:pPr>
            <w:hyperlink w:anchor="fdmt-ex10_1.htm">
              <w:r>
                <w:rPr>
                  <w:rStyle w:val="InternetLink"/>
                  <w:rFonts w:ascii="Arial" w:hAnsi="Arial"/>
                  <w:color w:val="0000FF"/>
                  <w:sz w:val="20"/>
                  <w:u w:val="single"/>
                </w:rPr>
                <w:t>Amended and Restated Non-Employee Director Compensation Program.</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7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03" w:type="dxa"/>
            <w:tcBorders/>
            <w:tcMar>
              <w:top w:w="0" w:type="dxa"/>
              <w:left w:w="0" w:type="dxa"/>
              <w:bottom w:w="0" w:type="dxa"/>
              <w:right w:w="0" w:type="dxa"/>
            </w:tcMar>
            <w:vAlign w:val="center"/>
          </w:tcPr>
          <w:p>
            <w:pPr>
              <w:pStyle w:val="TableContents"/>
              <w:bidi w:val="0"/>
              <w:spacing w:before="0" w:after="283"/>
              <w:jc w:val="left"/>
              <w:rPr/>
            </w:pPr>
            <w:hyperlink w:anchor="fdmt-ex31_1.htm">
              <w:r>
                <w:rPr>
                  <w:rStyle w:val="InternetLink"/>
                  <w:rFonts w:ascii="Arial" w:hAnsi="Arial"/>
                  <w:color w:val="0000FF"/>
                  <w:sz w:val="20"/>
                  <w:u w:val="single"/>
                </w:rPr>
                <w:t>Certification of the Principal Executive Officer pursuant to Rules 13a-14(a) and 15d-14(a) under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7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03" w:type="dxa"/>
            <w:tcBorders/>
            <w:tcMar>
              <w:top w:w="0" w:type="dxa"/>
              <w:left w:w="0" w:type="dxa"/>
              <w:bottom w:w="0" w:type="dxa"/>
              <w:right w:w="0" w:type="dxa"/>
            </w:tcMar>
            <w:vAlign w:val="center"/>
          </w:tcPr>
          <w:p>
            <w:pPr>
              <w:pStyle w:val="TableContents"/>
              <w:bidi w:val="0"/>
              <w:spacing w:before="0" w:after="283"/>
              <w:jc w:val="left"/>
              <w:rPr/>
            </w:pPr>
            <w:hyperlink w:anchor="fdmt-ex31_2.htm">
              <w:r>
                <w:rPr>
                  <w:rStyle w:val="InternetLink"/>
                  <w:rFonts w:ascii="Arial" w:hAnsi="Arial"/>
                  <w:color w:val="0000FF"/>
                  <w:sz w:val="20"/>
                  <w:u w:val="single"/>
                </w:rPr>
                <w:t>Certification of the Principal Financial Officer pursuant to Rules 13a-14(a) and 15d-14(a) under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7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03" w:type="dxa"/>
            <w:tcBorders/>
            <w:tcMar>
              <w:top w:w="0" w:type="dxa"/>
              <w:left w:w="0" w:type="dxa"/>
              <w:bottom w:w="0" w:type="dxa"/>
              <w:right w:w="0" w:type="dxa"/>
            </w:tcMar>
            <w:vAlign w:val="center"/>
          </w:tcPr>
          <w:p>
            <w:pPr>
              <w:pStyle w:val="TableContents"/>
              <w:bidi w:val="0"/>
              <w:spacing w:before="0" w:after="283"/>
              <w:jc w:val="left"/>
              <w:rPr/>
            </w:pPr>
            <w:hyperlink w:anchor="fdmt-ex32_1.htm">
              <w:r>
                <w:rPr>
                  <w:rStyle w:val="InternetLink"/>
                  <w:rFonts w:ascii="Arial" w:hAnsi="Arial"/>
                  <w:color w:val="0000FF"/>
                  <w:sz w:val="20"/>
                  <w:u w:val="single"/>
                </w:rPr>
                <w:t>Certifications of the Principal Executive Officer and Principal Financial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7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0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Instance Document.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7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Inline XBRL Taxonomy Extension Schema With Embedded</w:t>
            </w:r>
            <w:r>
              <w:rPr>
                <w:rFonts w:ascii="Times New Roman" w:hAnsi="Times New Roman"/>
                <w:color w:val="545454"/>
                <w:sz w:val="20"/>
              </w:rPr>
              <w:t xml:space="preserve"> </w:t>
            </w:r>
            <w:r>
              <w:rPr>
                <w:rFonts w:ascii="Arial" w:hAnsi="Arial"/>
                <w:color w:val="000000"/>
                <w:sz w:val="20"/>
              </w:rPr>
              <w:t>Linkbase Document.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7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0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The cover page from the Company’s Quarterly Report on Form 10-Q for the three months ended March 31, 2026 has been formatted in Inline XBRL.</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bl>
    <w:p>
      <w:pPr>
        <w:pStyle w:val="TextBody"/>
        <w:bidi w:val="0"/>
        <w:spacing w:before="120" w:after="283"/>
        <w:jc w:val="left"/>
        <w:rPr>
          <w:rFonts w:ascii="Arial" w:hAnsi="Arial"/>
          <w:color w:val="000000"/>
          <w:sz w:val="19"/>
        </w:rPr>
      </w:pPr>
      <w:r>
        <w:rPr>
          <w:rFonts w:ascii="Arial" w:hAnsi="Arial"/>
          <w:color w:val="000000"/>
          <w:sz w:val="19"/>
        </w:rPr>
        <w:t>* The certifications attached as Exhibit 32.1 that accompany this Quarterly Report on Form 10-Q are deemed furnished and not filed with the Securities and Exchange Commission and are not to be incorporated by reference into any filing of 4D Molecular Therapeutics, Inc.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jc w:val="left"/>
        <w:rPr>
          <w:rFonts w:ascii="Arial" w:hAnsi="Arial"/>
          <w:color w:val="000000"/>
          <w:sz w:val="19"/>
        </w:rPr>
      </w:pPr>
      <w:r>
        <w:rPr>
          <w:rFonts w:ascii="Arial" w:hAnsi="Arial"/>
          <w:color w:val="000000"/>
          <w:sz w:val="19"/>
        </w:rPr>
        <w:t># Indicates management contract or compensatory plan</w:t>
      </w:r>
    </w:p>
    <w:p>
      <w:pPr>
        <w:pStyle w:val="TextBody"/>
        <w:bidi w:val="0"/>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21" w:name="signatures"/>
      <w:bookmarkEnd w:id="21"/>
      <w:r>
        <w:rPr>
          <w:rFonts w:ascii="Arial" w:hAnsi="Arial"/>
          <w:b/>
          <w:color w:val="000000"/>
          <w:sz w:val="20"/>
        </w:rPr>
        <w:t>SIGNATURES</w:t>
      </w:r>
    </w:p>
    <w:p>
      <w:pPr>
        <w:pStyle w:val="TextBody"/>
        <w:bidi w:val="0"/>
        <w:spacing w:before="240" w:after="283"/>
        <w:jc w:val="left"/>
        <w:rPr>
          <w:rFonts w:ascii="Times New Roman" w:hAnsi="Times New Roman"/>
          <w:sz w:val="20"/>
        </w:rPr>
      </w:pPr>
      <w:r>
        <w:rPr>
          <w:rFonts w:ascii="Arial" w:hAnsi="Arial"/>
          <w:color w:val="000000"/>
          <w:sz w:val="20"/>
        </w:rPr>
        <w:t>Pursuant to the requirements of the Securities Exchange Act of 1934, as amended, the Registrant has duly caused this Report to be signed on its behalf by the undersigned thereunto duly authorized</w:t>
      </w:r>
      <w:r>
        <w:rPr>
          <w:rFonts w:ascii="Arial" w:hAnsi="Arial"/>
          <w:b/>
          <w:color w:val="000000"/>
          <w:sz w:val="20"/>
        </w:rPr>
        <w:t>.</w:t>
      </w:r>
    </w:p>
    <w:p>
      <w:pPr>
        <w:pStyle w:val="TextBody"/>
        <w:bidi w:val="0"/>
        <w:jc w:val="left"/>
        <w:rPr/>
      </w:pPr>
      <w:r>
        <w:rPr/>
        <w:t> </w:t>
      </w:r>
    </w:p>
    <w:tbl>
      <w:tblPr>
        <w:tblW w:w="6749" w:type="dxa"/>
        <w:jc w:val="left"/>
        <w:tblInd w:w="0" w:type="dxa"/>
        <w:tblLayout w:type="fixed"/>
        <w:tblCellMar>
          <w:top w:w="28" w:type="dxa"/>
          <w:left w:w="28" w:type="dxa"/>
          <w:bottom w:w="28" w:type="dxa"/>
          <w:right w:w="28" w:type="dxa"/>
        </w:tblCellMar>
      </w:tblPr>
      <w:tblGrid>
        <w:gridCol w:w="1726"/>
        <w:gridCol w:w="146"/>
        <w:gridCol w:w="406"/>
        <w:gridCol w:w="4471"/>
      </w:tblGrid>
      <w:tr>
        <w:trPr/>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71" w:type="dxa"/>
            <w:tcBorders/>
            <w:vAlign w:val="center"/>
          </w:tcPr>
          <w:p>
            <w:pPr>
              <w:pStyle w:val="TableContents"/>
              <w:bidi w:val="0"/>
              <w:spacing w:before="0" w:after="283"/>
              <w:jc w:val="left"/>
              <w:rPr>
                <w:sz w:val="4"/>
                <w:szCs w:val="4"/>
              </w:rPr>
            </w:pPr>
            <w:r>
              <w:rPr>
                <w:sz w:val="4"/>
                <w:szCs w:val="4"/>
              </w:rPr>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4D Molecular Therapeutics, Inc.</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May 7,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44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David Kirn</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David Kirn, M.D.</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jc w:val="center"/>
              <w:rPr>
                <w:rFonts w:ascii="Arial" w:hAnsi="Arial"/>
                <w:b/>
                <w:color w:val="000000"/>
                <w:sz w:val="20"/>
              </w:rPr>
            </w:pPr>
            <w:r>
              <w:rPr>
                <w:rFonts w:ascii="Arial" w:hAnsi="Arial"/>
                <w:b/>
                <w:color w:val="000000"/>
                <w:sz w:val="20"/>
              </w:rPr>
              <w:t>President, Chief Executive Officer and Director</w:t>
            </w:r>
          </w:p>
          <w:p>
            <w:pPr>
              <w:pStyle w:val="TableContents"/>
              <w:bidi w:val="0"/>
              <w:spacing w:before="0" w:after="283"/>
              <w:jc w:val="center"/>
              <w:rPr>
                <w:rFonts w:ascii="Arial" w:hAnsi="Arial"/>
                <w:b/>
                <w:color w:val="000000"/>
                <w:sz w:val="20"/>
              </w:rPr>
            </w:pPr>
            <w:r>
              <w:rPr>
                <w:rFonts w:ascii="Arial" w:hAnsi="Arial"/>
                <w:b/>
                <w:color w:val="000000"/>
                <w:sz w:val="20"/>
              </w:rPr>
              <w:t>Principal Executive Officer</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Date: May 7, 2026</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4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Kristian Humer</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Kristian Humer</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1" w:type="dxa"/>
            <w:tcBorders/>
            <w:shd w:fill="FFFFFF" w:val="clear"/>
            <w:tcMar>
              <w:top w:w="0" w:type="dxa"/>
              <w:left w:w="0" w:type="dxa"/>
              <w:bottom w:w="0" w:type="dxa"/>
              <w:right w:w="0" w:type="dxa"/>
            </w:tcMar>
            <w:vAlign w:val="center"/>
          </w:tcPr>
          <w:p>
            <w:pPr>
              <w:pStyle w:val="TableContents"/>
              <w:bidi w:val="0"/>
              <w:jc w:val="center"/>
              <w:rPr>
                <w:rFonts w:ascii="Arial" w:hAnsi="Arial"/>
                <w:b/>
                <w:color w:val="000000"/>
                <w:sz w:val="20"/>
              </w:rPr>
            </w:pPr>
            <w:r>
              <w:rPr>
                <w:rFonts w:ascii="Arial" w:hAnsi="Arial"/>
                <w:b/>
                <w:color w:val="000000"/>
                <w:sz w:val="20"/>
              </w:rPr>
              <w:t>Chief Financial Officer</w:t>
            </w:r>
          </w:p>
          <w:p>
            <w:pPr>
              <w:pStyle w:val="TableContents"/>
              <w:bidi w:val="0"/>
              <w:spacing w:before="0" w:after="283"/>
              <w:jc w:val="center"/>
              <w:rPr>
                <w:rFonts w:ascii="Arial" w:hAnsi="Arial"/>
                <w:b/>
                <w:color w:val="000000"/>
                <w:sz w:val="20"/>
              </w:rPr>
            </w:pPr>
            <w:r>
              <w:rPr>
                <w:rFonts w:ascii="Arial" w:hAnsi="Arial"/>
                <w:b/>
                <w:color w:val="000000"/>
                <w:sz w:val="20"/>
              </w:rPr>
              <w:t>Principal Financial and Accounting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2" w:name="fdmt-ex10_1.htm"/>
      <w:bookmarkStart w:id="23" w:name="ksfdmtex10_1"/>
      <w:bookmarkEnd w:id="22"/>
      <w:bookmarkEnd w:id="23"/>
      <w:r>
        <w:rPr>
          <w:rFonts w:ascii="Times New Roman" w:hAnsi="Times New Roman"/>
          <w:b/>
          <w:color w:val="000000"/>
          <w:sz w:val="24"/>
        </w:rPr>
        <w:t>Exhibit 10.1</w:t>
      </w:r>
      <w:r>
        <w:br w:type="page"/>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4D Molecular Therapeutics, Inc.</w:t>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Amended and Restated Non-Employee Director Compensation Program</w:t>
      </w:r>
    </w:p>
    <w:p>
      <w:pPr>
        <w:pStyle w:val="TextBody"/>
        <w:bidi w:val="0"/>
        <w:jc w:val="both"/>
        <w:rPr>
          <w:rFonts w:ascii="Times New Roman" w:hAnsi="Times New Roman"/>
          <w:sz w:val="20"/>
        </w:rPr>
      </w:pPr>
      <w:r>
        <w:rPr>
          <w:rFonts w:ascii="Times New Roman" w:hAnsi="Times New Roman"/>
          <w:color w:val="000000"/>
          <w:sz w:val="24"/>
        </w:rPr>
        <w:t>This 4D Molecular Therapeutics, Inc.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Non-Employee Director Compensation Program (this “</w:t>
      </w:r>
      <w:r>
        <w:rPr>
          <w:rFonts w:ascii="Times New Roman" w:hAnsi="Times New Roman"/>
          <w:b/>
          <w:i/>
          <w:color w:val="000000"/>
          <w:sz w:val="24"/>
        </w:rPr>
        <w:t>Program</w:t>
      </w:r>
      <w:r>
        <w:rPr>
          <w:rFonts w:ascii="Times New Roman" w:hAnsi="Times New Roman"/>
          <w:color w:val="000000"/>
          <w:sz w:val="20"/>
        </w:rPr>
        <w:t>”</w:t>
      </w:r>
      <w:r>
        <w:rPr>
          <w:rFonts w:ascii="Times New Roman" w:hAnsi="Times New Roman"/>
          <w:color w:val="000000"/>
          <w:sz w:val="24"/>
        </w:rPr>
        <w:t>) has been adopted under the Company’s 2020 Incentive Award Plan (the “</w:t>
      </w:r>
      <w:r>
        <w:rPr>
          <w:rFonts w:ascii="Times New Roman" w:hAnsi="Times New Roman"/>
          <w:b/>
          <w:i/>
          <w:color w:val="000000"/>
          <w:sz w:val="24"/>
        </w:rPr>
        <w:t>Plan</w:t>
      </w:r>
      <w:r>
        <w:rPr>
          <w:rFonts w:ascii="Times New Roman" w:hAnsi="Times New Roman"/>
          <w:color w:val="000000"/>
          <w:sz w:val="20"/>
        </w:rPr>
        <w:t>”</w:t>
      </w:r>
      <w:r>
        <w:rPr>
          <w:rFonts w:ascii="Times New Roman" w:hAnsi="Times New Roman"/>
          <w:color w:val="000000"/>
          <w:sz w:val="24"/>
        </w:rPr>
        <w:t>) and has been amended and restated effective as of March 25, 2026 (the “Effective Date”). Capitalized terms not otherwise defined herein shall have the meaning ascribed in the Plan.</w:t>
      </w:r>
    </w:p>
    <w:p>
      <w:pPr>
        <w:pStyle w:val="TextBody"/>
        <w:bidi w:val="0"/>
        <w:jc w:val="left"/>
        <w:rPr>
          <w:rFonts w:ascii="Times New Roman" w:hAnsi="Times New Roman"/>
          <w:b/>
          <w:i/>
          <w:color w:val="000000"/>
          <w:sz w:val="24"/>
        </w:rPr>
      </w:pPr>
      <w:r>
        <w:rPr>
          <w:rFonts w:ascii="Times New Roman" w:hAnsi="Times New Roman"/>
          <w:b/>
          <w:i/>
          <w:color w:val="000000"/>
          <w:sz w:val="24"/>
        </w:rPr>
        <w:t>Cash Compensation</w:t>
      </w:r>
    </w:p>
    <w:p>
      <w:pPr>
        <w:pStyle w:val="TextBody"/>
        <w:bidi w:val="0"/>
        <w:jc w:val="left"/>
        <w:rPr>
          <w:rFonts w:ascii="Times New Roman" w:hAnsi="Times New Roman"/>
          <w:color w:val="000000"/>
          <w:sz w:val="24"/>
        </w:rPr>
      </w:pPr>
      <w:r>
        <w:rPr>
          <w:rFonts w:ascii="Times New Roman" w:hAnsi="Times New Roman"/>
          <w:color w:val="000000"/>
          <w:sz w:val="24"/>
        </w:rPr>
        <w:t>Effective as of the Effective Date, annual retainers will be paid in the following amounts to Non-Employee Directors:</w:t>
      </w:r>
    </w:p>
    <w:tbl>
      <w:tblPr>
        <w:tblW w:w="7982" w:type="dxa"/>
        <w:jc w:val="left"/>
        <w:tblInd w:w="0" w:type="dxa"/>
        <w:tblLayout w:type="fixed"/>
        <w:tblCellMar>
          <w:top w:w="28" w:type="dxa"/>
          <w:left w:w="28" w:type="dxa"/>
          <w:bottom w:w="28" w:type="dxa"/>
          <w:right w:w="28" w:type="dxa"/>
        </w:tblCellMar>
      </w:tblPr>
      <w:tblGrid>
        <w:gridCol w:w="7051"/>
        <w:gridCol w:w="931"/>
      </w:tblGrid>
      <w:tr>
        <w:trPr/>
        <w:tc>
          <w:tcPr>
            <w:tcW w:w="705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705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51" w:type="dxa"/>
            <w:tcBorders>
              <w:top w:val="single" w:sz="4" w:space="0" w:color="000000"/>
              <w:left w:val="single" w:sz="4" w:space="0" w:color="000000"/>
              <w:bottom w:val="single" w:sz="4" w:space="0" w:color="000000"/>
              <w:right w:val="single" w:sz="4" w:space="0" w:color="000000"/>
            </w:tcBorders>
            <w:tcMar>
              <w:top w:w="43" w:type="dxa"/>
              <w:left w:w="115" w:type="dxa"/>
              <w:bottom w:w="43" w:type="dxa"/>
              <w:right w:w="115"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Non-Employee Director:</w:t>
            </w:r>
          </w:p>
        </w:tc>
        <w:tc>
          <w:tcPr>
            <w:tcW w:w="931" w:type="dxa"/>
            <w:tcBorders>
              <w:top w:val="single" w:sz="4" w:space="0" w:color="000000"/>
              <w:bottom w:val="single" w:sz="4" w:space="0" w:color="000000"/>
              <w:right w:val="single" w:sz="4" w:space="0" w:color="000000"/>
            </w:tcBorders>
            <w:tcMar>
              <w:top w:w="43" w:type="dxa"/>
              <w:left w:w="0" w:type="dxa"/>
              <w:bottom w:w="43" w:type="dxa"/>
              <w:right w:w="115"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$45,000</w:t>
            </w:r>
          </w:p>
        </w:tc>
      </w:tr>
      <w:tr>
        <w:trPr/>
        <w:tc>
          <w:tcPr>
            <w:tcW w:w="7051" w:type="dxa"/>
            <w:tcBorders>
              <w:left w:val="single" w:sz="4" w:space="0" w:color="000000"/>
              <w:bottom w:val="single" w:sz="4" w:space="0" w:color="000000"/>
              <w:right w:val="single" w:sz="4" w:space="0" w:color="000000"/>
            </w:tcBorders>
            <w:tcMar>
              <w:top w:w="0" w:type="dxa"/>
              <w:left w:w="115" w:type="dxa"/>
              <w:bottom w:w="43" w:type="dxa"/>
              <w:right w:w="115"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Audit Committee Chair:</w:t>
            </w:r>
          </w:p>
        </w:tc>
        <w:tc>
          <w:tcPr>
            <w:tcW w:w="931" w:type="dxa"/>
            <w:tcBorders>
              <w:bottom w:val="single" w:sz="4" w:space="0" w:color="000000"/>
              <w:right w:val="single" w:sz="4" w:space="0" w:color="000000"/>
            </w:tcBorders>
            <w:tcMar>
              <w:top w:w="0" w:type="dxa"/>
              <w:left w:w="0" w:type="dxa"/>
              <w:bottom w:w="43" w:type="dxa"/>
              <w:right w:w="115"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$25,000</w:t>
            </w:r>
          </w:p>
        </w:tc>
      </w:tr>
      <w:tr>
        <w:trPr/>
        <w:tc>
          <w:tcPr>
            <w:tcW w:w="7051" w:type="dxa"/>
            <w:tcBorders>
              <w:left w:val="single" w:sz="4" w:space="0" w:color="000000"/>
              <w:bottom w:val="single" w:sz="4" w:space="0" w:color="000000"/>
              <w:right w:val="single" w:sz="4" w:space="0" w:color="000000"/>
            </w:tcBorders>
            <w:tcMar>
              <w:top w:w="0" w:type="dxa"/>
              <w:left w:w="115" w:type="dxa"/>
              <w:bottom w:w="43" w:type="dxa"/>
              <w:right w:w="115"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Compensation Committee Chair:</w:t>
            </w:r>
          </w:p>
        </w:tc>
        <w:tc>
          <w:tcPr>
            <w:tcW w:w="931" w:type="dxa"/>
            <w:tcBorders>
              <w:bottom w:val="single" w:sz="4" w:space="0" w:color="000000"/>
              <w:right w:val="single" w:sz="4" w:space="0" w:color="000000"/>
            </w:tcBorders>
            <w:tcMar>
              <w:top w:w="0" w:type="dxa"/>
              <w:left w:w="0" w:type="dxa"/>
              <w:bottom w:w="43" w:type="dxa"/>
              <w:right w:w="115"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$20,000</w:t>
            </w:r>
          </w:p>
        </w:tc>
      </w:tr>
      <w:tr>
        <w:trPr/>
        <w:tc>
          <w:tcPr>
            <w:tcW w:w="7051" w:type="dxa"/>
            <w:tcBorders>
              <w:left w:val="single" w:sz="4" w:space="0" w:color="000000"/>
              <w:bottom w:val="single" w:sz="4" w:space="0" w:color="000000"/>
              <w:right w:val="single" w:sz="4" w:space="0" w:color="000000"/>
            </w:tcBorders>
            <w:tcMar>
              <w:top w:w="0" w:type="dxa"/>
              <w:left w:w="115" w:type="dxa"/>
              <w:bottom w:w="43" w:type="dxa"/>
              <w:right w:w="115"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Nominating and Corporate Governance Committee Chair:</w:t>
            </w:r>
          </w:p>
        </w:tc>
        <w:tc>
          <w:tcPr>
            <w:tcW w:w="931" w:type="dxa"/>
            <w:tcBorders>
              <w:bottom w:val="single" w:sz="4" w:space="0" w:color="000000"/>
              <w:right w:val="single" w:sz="4" w:space="0" w:color="000000"/>
            </w:tcBorders>
            <w:tcMar>
              <w:top w:w="0" w:type="dxa"/>
              <w:left w:w="0" w:type="dxa"/>
              <w:bottom w:w="43" w:type="dxa"/>
              <w:right w:w="115"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$15,000</w:t>
            </w:r>
          </w:p>
        </w:tc>
      </w:tr>
      <w:tr>
        <w:trPr/>
        <w:tc>
          <w:tcPr>
            <w:tcW w:w="7051" w:type="dxa"/>
            <w:tcBorders>
              <w:left w:val="single" w:sz="4" w:space="0" w:color="000000"/>
              <w:bottom w:val="single" w:sz="4" w:space="0" w:color="000000"/>
              <w:right w:val="single" w:sz="4" w:space="0" w:color="000000"/>
            </w:tcBorders>
            <w:tcMar>
              <w:top w:w="0" w:type="dxa"/>
              <w:left w:w="115" w:type="dxa"/>
              <w:bottom w:w="43" w:type="dxa"/>
              <w:right w:w="115"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Science and Technology Committee Chair:</w:t>
            </w:r>
          </w:p>
        </w:tc>
        <w:tc>
          <w:tcPr>
            <w:tcW w:w="931" w:type="dxa"/>
            <w:tcBorders>
              <w:bottom w:val="single" w:sz="4" w:space="0" w:color="000000"/>
              <w:right w:val="single" w:sz="4" w:space="0" w:color="000000"/>
            </w:tcBorders>
            <w:tcMar>
              <w:top w:w="0" w:type="dxa"/>
              <w:left w:w="0" w:type="dxa"/>
              <w:bottom w:w="43" w:type="dxa"/>
              <w:right w:w="115"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$10,000</w:t>
            </w:r>
          </w:p>
        </w:tc>
      </w:tr>
      <w:tr>
        <w:trPr/>
        <w:tc>
          <w:tcPr>
            <w:tcW w:w="7051" w:type="dxa"/>
            <w:tcBorders>
              <w:left w:val="single" w:sz="4" w:space="0" w:color="000000"/>
              <w:bottom w:val="single" w:sz="4" w:space="0" w:color="000000"/>
              <w:right w:val="single" w:sz="4" w:space="0" w:color="000000"/>
            </w:tcBorders>
            <w:tcMar>
              <w:top w:w="0" w:type="dxa"/>
              <w:left w:w="115" w:type="dxa"/>
              <w:bottom w:w="43" w:type="dxa"/>
              <w:right w:w="115"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Audit Committee Member (non-Chair):</w:t>
            </w:r>
          </w:p>
        </w:tc>
        <w:tc>
          <w:tcPr>
            <w:tcW w:w="931" w:type="dxa"/>
            <w:tcBorders>
              <w:bottom w:val="single" w:sz="4" w:space="0" w:color="000000"/>
              <w:right w:val="single" w:sz="4" w:space="0" w:color="000000"/>
            </w:tcBorders>
            <w:tcMar>
              <w:top w:w="0" w:type="dxa"/>
              <w:left w:w="0" w:type="dxa"/>
              <w:bottom w:w="43" w:type="dxa"/>
              <w:right w:w="115"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$12,500</w:t>
            </w:r>
          </w:p>
        </w:tc>
      </w:tr>
      <w:tr>
        <w:trPr/>
        <w:tc>
          <w:tcPr>
            <w:tcW w:w="7051" w:type="dxa"/>
            <w:tcBorders>
              <w:left w:val="single" w:sz="4" w:space="0" w:color="000000"/>
              <w:bottom w:val="single" w:sz="4" w:space="0" w:color="000000"/>
              <w:right w:val="single" w:sz="4" w:space="0" w:color="000000"/>
            </w:tcBorders>
            <w:tcMar>
              <w:top w:w="0" w:type="dxa"/>
              <w:left w:w="115" w:type="dxa"/>
              <w:bottom w:w="43" w:type="dxa"/>
              <w:right w:w="115"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Compensation Committee Member (non-Chair):</w:t>
            </w:r>
          </w:p>
        </w:tc>
        <w:tc>
          <w:tcPr>
            <w:tcW w:w="931" w:type="dxa"/>
            <w:tcBorders>
              <w:bottom w:val="single" w:sz="4" w:space="0" w:color="000000"/>
              <w:right w:val="single" w:sz="4" w:space="0" w:color="000000"/>
            </w:tcBorders>
            <w:tcMar>
              <w:top w:w="0" w:type="dxa"/>
              <w:left w:w="0" w:type="dxa"/>
              <w:bottom w:w="43" w:type="dxa"/>
              <w:right w:w="115"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$10,000</w:t>
            </w:r>
          </w:p>
        </w:tc>
      </w:tr>
      <w:tr>
        <w:trPr/>
        <w:tc>
          <w:tcPr>
            <w:tcW w:w="7051" w:type="dxa"/>
            <w:tcBorders>
              <w:left w:val="single" w:sz="4" w:space="0" w:color="000000"/>
              <w:bottom w:val="single" w:sz="4" w:space="0" w:color="000000"/>
              <w:right w:val="single" w:sz="4" w:space="0" w:color="000000"/>
            </w:tcBorders>
            <w:tcMar>
              <w:top w:w="0" w:type="dxa"/>
              <w:left w:w="115" w:type="dxa"/>
              <w:bottom w:w="43" w:type="dxa"/>
              <w:right w:w="115"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Nominating and Corporate Governance Committee Member (non-Chair):</w:t>
            </w:r>
          </w:p>
        </w:tc>
        <w:tc>
          <w:tcPr>
            <w:tcW w:w="931" w:type="dxa"/>
            <w:tcBorders>
              <w:bottom w:val="single" w:sz="4" w:space="0" w:color="000000"/>
              <w:right w:val="single" w:sz="4" w:space="0" w:color="000000"/>
            </w:tcBorders>
            <w:tcMar>
              <w:top w:w="0" w:type="dxa"/>
              <w:left w:w="0" w:type="dxa"/>
              <w:bottom w:w="43" w:type="dxa"/>
              <w:right w:w="115"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$7,500</w:t>
            </w:r>
          </w:p>
        </w:tc>
      </w:tr>
      <w:tr>
        <w:trPr/>
        <w:tc>
          <w:tcPr>
            <w:tcW w:w="7051" w:type="dxa"/>
            <w:tcBorders>
              <w:left w:val="single" w:sz="4" w:space="0" w:color="000000"/>
              <w:bottom w:val="single" w:sz="4" w:space="0" w:color="000000"/>
              <w:right w:val="single" w:sz="4" w:space="0" w:color="000000"/>
            </w:tcBorders>
            <w:tcMar>
              <w:top w:w="0" w:type="dxa"/>
              <w:left w:w="115" w:type="dxa"/>
              <w:bottom w:w="43" w:type="dxa"/>
              <w:right w:w="115"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Science and Technology Committee (non-Chair):</w:t>
            </w:r>
          </w:p>
        </w:tc>
        <w:tc>
          <w:tcPr>
            <w:tcW w:w="931" w:type="dxa"/>
            <w:tcBorders>
              <w:bottom w:val="single" w:sz="4" w:space="0" w:color="000000"/>
              <w:right w:val="single" w:sz="4" w:space="0" w:color="000000"/>
            </w:tcBorders>
            <w:tcMar>
              <w:top w:w="0" w:type="dxa"/>
              <w:left w:w="0" w:type="dxa"/>
              <w:bottom w:w="43" w:type="dxa"/>
              <w:right w:w="115"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$5,000</w:t>
            </w:r>
          </w:p>
        </w:tc>
      </w:tr>
    </w:tbl>
    <w:p>
      <w:pPr>
        <w:pStyle w:val="TextBody"/>
        <w:bidi w:val="0"/>
        <w:jc w:val="both"/>
        <w:rPr>
          <w:rFonts w:ascii="Times New Roman" w:hAnsi="Times New Roman"/>
          <w:color w:val="000000"/>
          <w:sz w:val="24"/>
        </w:rPr>
      </w:pPr>
      <w:r>
        <w:rPr>
          <w:rFonts w:ascii="Times New Roman" w:hAnsi="Times New Roman"/>
          <w:color w:val="000000"/>
          <w:sz w:val="24"/>
        </w:rPr>
        <w:t>In lieu of any of the foregoing fees, the Executive Chairperson of the Board shall receive an annual retainer of $150,000.</w:t>
      </w:r>
    </w:p>
    <w:p>
      <w:pPr>
        <w:pStyle w:val="TextBody"/>
        <w:bidi w:val="0"/>
        <w:jc w:val="both"/>
        <w:rPr>
          <w:rFonts w:ascii="Times New Roman" w:hAnsi="Times New Roman"/>
          <w:color w:val="000000"/>
          <w:sz w:val="24"/>
        </w:rPr>
      </w:pPr>
      <w:r>
        <w:rPr>
          <w:rFonts w:ascii="Times New Roman" w:hAnsi="Times New Roman"/>
          <w:color w:val="000000"/>
          <w:sz w:val="24"/>
        </w:rPr>
        <w:t>All annual retainers will be paid in cash quarterly in arrears promptly following the end of the applicable calendar quarter, but in no event more than 30 days after the end of such quarter. In the event a Non-Employee Director does not serve as a Non-Employee Director, or in the applicable positions described above, for an entire calendar quarter, the retainer paid to such Non-Employee Director shall be prorated for the portion of such calendar quarter actually served as a Non-Employee Director, or in such position, as applicable.</w:t>
      </w:r>
    </w:p>
    <w:p>
      <w:pPr>
        <w:pStyle w:val="TextBody"/>
        <w:bidi w:val="0"/>
        <w:jc w:val="both"/>
        <w:rPr>
          <w:rFonts w:ascii="Times New Roman" w:hAnsi="Times New Roman"/>
          <w:b/>
          <w:i/>
          <w:color w:val="000000"/>
          <w:sz w:val="24"/>
        </w:rPr>
      </w:pPr>
      <w:r>
        <w:rPr>
          <w:rFonts w:ascii="Times New Roman" w:hAnsi="Times New Roman"/>
          <w:b/>
          <w:i/>
          <w:color w:val="000000"/>
          <w:sz w:val="24"/>
        </w:rPr>
        <w:t>Equity Compensation</w:t>
      </w:r>
    </w:p>
    <w:p>
      <w:pPr>
        <w:pStyle w:val="TextBody"/>
        <w:bidi w:val="0"/>
        <w:jc w:val="left"/>
        <w:rPr>
          <w:rFonts w:ascii="Times New Roman" w:hAnsi="Times New Roman"/>
          <w:color w:val="000000"/>
          <w:sz w:val="16"/>
        </w:rPr>
      </w:pPr>
      <w:r>
        <w:rPr>
          <w:rFonts w:ascii="Times New Roman" w:hAnsi="Times New Roman"/>
          <w:color w:val="000000"/>
          <w:sz w:val="16"/>
        </w:rPr>
        <w:t>|US-DOCS\110956199.4||</w:t>
      </w:r>
    </w:p>
    <w:p>
      <w:pPr>
        <w:pStyle w:val="TextBody"/>
        <w:pBdr>
          <w:bottom w:val="single" w:sz="8" w:space="1" w:color="A0A0A0"/>
        </w:pBdr>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23"/>
        <w:gridCol w:w="8582"/>
      </w:tblGrid>
      <w:tr>
        <w:trPr/>
        <w:tc>
          <w:tcPr>
            <w:tcW w:w="1623" w:type="dxa"/>
            <w:tcBorders/>
            <w:vAlign w:val="center"/>
          </w:tcPr>
          <w:p>
            <w:pPr>
              <w:pStyle w:val="TableContents"/>
              <w:bidi w:val="0"/>
              <w:spacing w:before="0" w:after="283"/>
              <w:jc w:val="left"/>
              <w:rPr>
                <w:sz w:val="4"/>
                <w:szCs w:val="4"/>
              </w:rPr>
            </w:pPr>
            <w:r>
              <w:rPr>
                <w:sz w:val="4"/>
                <w:szCs w:val="4"/>
              </w:rPr>
            </w:r>
          </w:p>
        </w:tc>
        <w:tc>
          <w:tcPr>
            <w:tcW w:w="8582" w:type="dxa"/>
            <w:tcBorders/>
            <w:vAlign w:val="center"/>
          </w:tcPr>
          <w:p>
            <w:pPr>
              <w:pStyle w:val="TableContents"/>
              <w:bidi w:val="0"/>
              <w:spacing w:before="0" w:after="283"/>
              <w:jc w:val="left"/>
              <w:rPr>
                <w:sz w:val="4"/>
                <w:szCs w:val="4"/>
              </w:rPr>
            </w:pPr>
            <w:r>
              <w:rPr>
                <w:sz w:val="4"/>
                <w:szCs w:val="4"/>
              </w:rPr>
            </w:r>
          </w:p>
        </w:tc>
      </w:tr>
      <w:tr>
        <w:trPr/>
        <w:tc>
          <w:tcPr>
            <w:tcW w:w="1623" w:type="dxa"/>
            <w:tcBorders/>
            <w:tcMar>
              <w:top w:w="0" w:type="dxa"/>
              <w:left w:w="0" w:type="dxa"/>
              <w:bottom w:w="0" w:type="dxa"/>
              <w:right w:w="0" w:type="dxa"/>
            </w:tcMar>
            <w:vAlign w:val="center"/>
          </w:tcPr>
          <w:p>
            <w:pPr>
              <w:pStyle w:val="TableContents"/>
              <w:bidi w:val="0"/>
              <w:spacing w:before="0" w:after="283"/>
              <w:jc w:val="left"/>
              <w:rPr/>
            </w:pPr>
            <w:r>
              <w:rPr/>
              <w:t> </w:t>
            </w:r>
          </w:p>
        </w:tc>
        <w:tc>
          <w:tcPr>
            <w:tcW w:w="85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2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Initial Stock Option Grant:</w:t>
            </w:r>
          </w:p>
        </w:tc>
        <w:tc>
          <w:tcPr>
            <w:tcW w:w="858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 xml:space="preserve">Each Non-Employee Director who is initially elected or appointed to serve on the Board after the Effective Date shall be granted an Option under the Plan or any other applicable </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tbl>
      <w:tblPr>
        <w:tblW w:w="10205" w:type="dxa"/>
        <w:jc w:val="left"/>
        <w:tblInd w:w="0" w:type="dxa"/>
        <w:tblLayout w:type="fixed"/>
        <w:tblCellMar>
          <w:top w:w="28" w:type="dxa"/>
          <w:left w:w="28" w:type="dxa"/>
          <w:bottom w:w="28" w:type="dxa"/>
          <w:right w:w="28" w:type="dxa"/>
        </w:tblCellMar>
      </w:tblPr>
      <w:tblGrid>
        <w:gridCol w:w="1048"/>
        <w:gridCol w:w="9157"/>
      </w:tblGrid>
      <w:tr>
        <w:trPr/>
        <w:tc>
          <w:tcPr>
            <w:tcW w:w="1048" w:type="dxa"/>
            <w:tcBorders/>
            <w:vAlign w:val="center"/>
          </w:tcPr>
          <w:p>
            <w:pPr>
              <w:pStyle w:val="TableContents"/>
              <w:bidi w:val="0"/>
              <w:spacing w:before="0" w:after="283"/>
              <w:jc w:val="left"/>
              <w:rPr>
                <w:sz w:val="4"/>
                <w:szCs w:val="4"/>
              </w:rPr>
            </w:pPr>
            <w:r>
              <w:rPr>
                <w:sz w:val="4"/>
                <w:szCs w:val="4"/>
              </w:rPr>
            </w:r>
          </w:p>
        </w:tc>
        <w:tc>
          <w:tcPr>
            <w:tcW w:w="9157" w:type="dxa"/>
            <w:tcBorders/>
            <w:vAlign w:val="center"/>
          </w:tcPr>
          <w:p>
            <w:pPr>
              <w:pStyle w:val="TableContents"/>
              <w:bidi w:val="0"/>
              <w:spacing w:before="0" w:after="283"/>
              <w:jc w:val="left"/>
              <w:rPr>
                <w:sz w:val="4"/>
                <w:szCs w:val="4"/>
              </w:rPr>
            </w:pPr>
            <w:r>
              <w:rPr>
                <w:sz w:val="4"/>
                <w:szCs w:val="4"/>
              </w:rPr>
            </w:r>
          </w:p>
        </w:tc>
      </w:tr>
      <w:tr>
        <w:trPr/>
        <w:tc>
          <w:tcPr>
            <w:tcW w:w="1048" w:type="dxa"/>
            <w:tcBorders/>
            <w:tcMar>
              <w:top w:w="0" w:type="dxa"/>
              <w:left w:w="0" w:type="dxa"/>
              <w:bottom w:w="0" w:type="dxa"/>
              <w:right w:w="0" w:type="dxa"/>
            </w:tcMar>
            <w:vAlign w:val="center"/>
          </w:tcPr>
          <w:p>
            <w:pPr>
              <w:pStyle w:val="TableContents"/>
              <w:bidi w:val="0"/>
              <w:spacing w:before="0" w:after="283"/>
              <w:jc w:val="left"/>
              <w:rPr/>
            </w:pPr>
            <w:r>
              <w:rPr/>
              <w:t> </w:t>
            </w:r>
          </w:p>
        </w:tc>
        <w:tc>
          <w:tcPr>
            <w:tcW w:w="9157"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4"/>
              </w:rPr>
            </w:pPr>
            <w:r>
              <w:rPr>
                <w:rFonts w:ascii="Times New Roman" w:hAnsi="Times New Roman"/>
                <w:color w:val="000000"/>
                <w:sz w:val="24"/>
              </w:rPr>
              <w:t>Company equity incentive plan then-maintained by the Company to purchase 100,000 shares of Common Stock.</w:t>
            </w:r>
          </w:p>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The Initial Stock Option Grant will be automatically granted on the date on which such Non-Employee Director commences service on the Board, and thirty-three and one third percent (33.3%) of the total number of shares originally subject to the stock option shall vest and become exercisable one year after the applicable date of grant, and one-thirty-sixth (1/36th) of the total number of shares originally subject to the stock option shall vest and become exercisable monthly thereafter, so that all of the shares subject to the stock option shall be vested and exercisable on the third anniversary of the applicable date of grant, subject to the Non-Employee Director continuing in service on the Board through such vesting date.</w:t>
            </w:r>
          </w:p>
        </w:tc>
      </w:tr>
      <w:tr>
        <w:trPr/>
        <w:tc>
          <w:tcPr>
            <w:tcW w:w="104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Annual Stock Option Grant:</w:t>
            </w:r>
          </w:p>
        </w:tc>
        <w:tc>
          <w:tcPr>
            <w:tcW w:w="9157" w:type="dxa"/>
            <w:tcBorders/>
            <w:tcMar>
              <w:top w:w="0" w:type="dxa"/>
              <w:left w:w="0" w:type="dxa"/>
              <w:bottom w:w="0" w:type="dxa"/>
              <w:right w:w="0" w:type="dxa"/>
            </w:tcMar>
            <w:vAlign w:val="center"/>
          </w:tcPr>
          <w:p>
            <w:pPr>
              <w:pStyle w:val="TableContents"/>
              <w:bidi w:val="0"/>
              <w:jc w:val="both"/>
              <w:rPr>
                <w:rFonts w:ascii="Times New Roman" w:hAnsi="Times New Roman"/>
                <w:sz w:val="24"/>
              </w:rPr>
            </w:pPr>
            <w:r>
              <w:rPr>
                <w:rFonts w:ascii="Times New Roman" w:hAnsi="Times New Roman"/>
                <w:color w:val="000000"/>
                <w:sz w:val="24"/>
              </w:rPr>
              <w:t>Each Non-Employee Director who is or has, for at least 120 days, been serving on the Board as of the date of each annual shareholder meeting of the Company (each, an “</w:t>
            </w:r>
            <w:r>
              <w:rPr>
                <w:rFonts w:ascii="Times New Roman" w:hAnsi="Times New Roman"/>
                <w:b/>
                <w:i/>
                <w:color w:val="000000"/>
                <w:sz w:val="24"/>
              </w:rPr>
              <w:t>Annual Meeting</w:t>
            </w:r>
            <w:r>
              <w:rPr>
                <w:rFonts w:ascii="Times New Roman" w:hAnsi="Times New Roman"/>
                <w:color w:val="000000"/>
                <w:sz w:val="24"/>
              </w:rPr>
              <w:t xml:space="preserve">”) shall be granted an Option under the Plan or any other applicable Company equity incentive plan then-maintained by the Company to purchase 50,000 shares of Common Stock (or 75,000 shares of Common Stock if such Non-Employee Director is the Executive Chairperson of the Board). </w:t>
            </w:r>
          </w:p>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The Annual Option will be automatically granted on the date of the applicable Annual Meeting, and thirty-three and one third percent (33.3%) of the total number of shares originally subject to the stock option shall vest and become exercisable one year after the applicable date of grant, and one-thirty-sixth (1/36th) of the total number of shares originally subject to the stock option shall vest and become exercisable monthly thereafter, so that all of the shares subject to the stock option shall be vested and exercisable on the third anniversary of the applicable date of grant, subject to the Non-Employee Director continuing in service on the Board through such vesting date.</w:t>
            </w:r>
          </w:p>
        </w:tc>
      </w:tr>
    </w:tbl>
    <w:p>
      <w:pPr>
        <w:pStyle w:val="TextBody"/>
        <w:bidi w:val="0"/>
        <w:jc w:val="both"/>
        <w:rPr>
          <w:rFonts w:ascii="Times New Roman" w:hAnsi="Times New Roman"/>
          <w:color w:val="000000"/>
          <w:sz w:val="24"/>
        </w:rPr>
      </w:pPr>
      <w:r>
        <w:rPr>
          <w:rFonts w:ascii="Times New Roman" w:hAnsi="Times New Roman"/>
          <w:color w:val="000000"/>
          <w:sz w:val="24"/>
        </w:rPr>
        <w:t>The per share exercise price of each Option granted to a Non-Employee Director shall equal the Fair Market Value of a share of common stock on the date the Option is granted.</w:t>
      </w:r>
    </w:p>
    <w:p>
      <w:pPr>
        <w:pStyle w:val="TextBody"/>
        <w:bidi w:val="0"/>
        <w:jc w:val="both"/>
        <w:rPr>
          <w:rFonts w:ascii="Times New Roman" w:hAnsi="Times New Roman"/>
          <w:color w:val="000000"/>
          <w:sz w:val="24"/>
        </w:rPr>
      </w:pPr>
      <w:r>
        <w:rPr>
          <w:rFonts w:ascii="Times New Roman" w:hAnsi="Times New Roman"/>
          <w:color w:val="000000"/>
          <w:sz w:val="24"/>
        </w:rPr>
        <w:t>The term of each Option granted to a Non-Employee Director shall be ten years from the date the Option is granted.</w:t>
      </w:r>
    </w:p>
    <w:p>
      <w:pPr>
        <w:pStyle w:val="TextBody"/>
        <w:pBdr>
          <w:bottom w:val="single" w:sz="8" w:space="1" w:color="A0A0A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p>
      <w:pPr>
        <w:pStyle w:val="TextBody"/>
        <w:bidi w:val="0"/>
        <w:jc w:val="both"/>
        <w:rPr>
          <w:rFonts w:ascii="Times New Roman" w:hAnsi="Times New Roman"/>
          <w:color w:val="000000"/>
          <w:sz w:val="24"/>
        </w:rPr>
      </w:pPr>
      <w:r>
        <w:rPr>
          <w:rFonts w:ascii="Times New Roman" w:hAnsi="Times New Roman"/>
          <w:color w:val="000000"/>
          <w:sz w:val="24"/>
        </w:rPr>
        <w:t>No portion of an Initial Option or Annual Option which is unvested or unexercisable at the time of a Non-Employee Director’s termination of service on the Board shall become vested and exercisable thereafter.</w:t>
      </w:r>
    </w:p>
    <w:p>
      <w:pPr>
        <w:pStyle w:val="TextBody"/>
        <w:bidi w:val="0"/>
        <w:jc w:val="both"/>
        <w:rPr>
          <w:rFonts w:ascii="Times New Roman" w:hAnsi="Times New Roman"/>
          <w:color w:val="000000"/>
          <w:sz w:val="24"/>
        </w:rPr>
      </w:pPr>
      <w:r>
        <w:rPr>
          <w:rFonts w:ascii="Times New Roman" w:hAnsi="Times New Roman"/>
          <w:color w:val="000000"/>
          <w:sz w:val="24"/>
        </w:rPr>
        <w:t>Members of the Board who are employees of the Company or any parent or subsidiary of the Company who subsequently terminate their service with the Company and any parent or subsidiary of the Company and remain on the Board will not receive an Initial Option, but to the extent that they are otherwise eligible, will be eligible to receive, after termination from service with the Company and any parent or subsidiary of the Company, Annual Options as described above.</w:t>
      </w:r>
    </w:p>
    <w:p>
      <w:pPr>
        <w:pStyle w:val="TextBody"/>
        <w:bidi w:val="0"/>
        <w:jc w:val="both"/>
        <w:rPr>
          <w:rFonts w:ascii="Times New Roman" w:hAnsi="Times New Roman"/>
          <w:b/>
          <w:i/>
          <w:color w:val="000000"/>
          <w:sz w:val="24"/>
        </w:rPr>
      </w:pPr>
      <w:r>
        <w:rPr>
          <w:rFonts w:ascii="Times New Roman" w:hAnsi="Times New Roman"/>
          <w:b/>
          <w:i/>
          <w:color w:val="000000"/>
          <w:sz w:val="24"/>
        </w:rPr>
        <w:t>Change in Control</w:t>
      </w:r>
    </w:p>
    <w:p>
      <w:pPr>
        <w:pStyle w:val="TextBody"/>
        <w:bidi w:val="0"/>
        <w:jc w:val="both"/>
        <w:rPr>
          <w:rFonts w:ascii="Times New Roman" w:hAnsi="Times New Roman"/>
          <w:color w:val="000000"/>
          <w:sz w:val="24"/>
        </w:rPr>
      </w:pPr>
      <w:r>
        <w:rPr>
          <w:rFonts w:ascii="Times New Roman" w:hAnsi="Times New Roman"/>
          <w:color w:val="000000"/>
          <w:sz w:val="24"/>
        </w:rPr>
        <w:t>Upon a Change in Control of the Company, all outstanding equity awards granted under the Plan and any other equity incentive plan maintained by the Company that are held by a Non-Employee Director shall become fully vested and/or exercisable, irrespective of any other provisions of the Non-Employee Director’s Award Agreement.</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Reimbursements</w:t>
      </w:r>
    </w:p>
    <w:p>
      <w:pPr>
        <w:pStyle w:val="TextBody"/>
        <w:bidi w:val="0"/>
        <w:spacing w:before="0" w:after="240"/>
        <w:jc w:val="both"/>
        <w:rPr>
          <w:rFonts w:ascii="Times New Roman" w:hAnsi="Times New Roman"/>
          <w:sz w:val="20"/>
        </w:rPr>
      </w:pPr>
      <w:r>
        <w:rPr>
          <w:rFonts w:ascii="Times New Roman" w:hAnsi="Times New Roman"/>
          <w:color w:val="000000"/>
          <w:sz w:val="24"/>
        </w:rPr>
        <w:t>The Company shall reimburse each Non-Employee Director for all reasonable, documented, out-of-pocket travel and other business expenses incurred by such Non-Employee Director in the performance of his or her duties to the Company in accordance with the Company’s applicable expense reimbursement policies and procedures as in effect from time to time.</w:t>
      </w:r>
      <w:r>
        <w:rPr>
          <w:rFonts w:ascii="Times New Roman" w:hAnsi="Times New Roman"/>
          <w:color w:val="000000"/>
          <w:sz w:val="20"/>
        </w:rPr>
        <w:t xml:space="preserve"> </w:t>
      </w:r>
    </w:p>
    <w:p>
      <w:pPr>
        <w:pStyle w:val="TextBody"/>
        <w:bidi w:val="0"/>
        <w:jc w:val="both"/>
        <w:rPr>
          <w:rFonts w:ascii="Times New Roman" w:hAnsi="Times New Roman"/>
          <w:b/>
          <w:i/>
          <w:color w:val="000000"/>
          <w:sz w:val="24"/>
        </w:rPr>
      </w:pPr>
      <w:r>
        <w:rPr>
          <w:rFonts w:ascii="Times New Roman" w:hAnsi="Times New Roman"/>
          <w:b/>
          <w:i/>
          <w:color w:val="000000"/>
          <w:sz w:val="24"/>
        </w:rPr>
        <w:t>Miscellaneous</w:t>
      </w:r>
    </w:p>
    <w:p>
      <w:pPr>
        <w:pStyle w:val="TextBody"/>
        <w:bidi w:val="0"/>
        <w:jc w:val="both"/>
        <w:rPr>
          <w:rFonts w:ascii="Times New Roman" w:hAnsi="Times New Roman"/>
          <w:sz w:val="20"/>
        </w:rPr>
      </w:pPr>
      <w:r>
        <w:rPr>
          <w:rFonts w:ascii="Times New Roman" w:hAnsi="Times New Roman"/>
          <w:color w:val="000000"/>
          <w:sz w:val="24"/>
        </w:rPr>
        <w:t>The other provisions of the Plan shall apply to the Options granted automatically pursuant to this Program, except to the extent such other provisions are inconsistent with this Program. All applicable terms of the Plan apply to this Program as if fully set forth herein, and all grants of Options hereby are subject in all respects to the terms of the Plan. The grant of any Option under this Program shall be made solely by and subject to the terms set forth in a written agreement in a form to be approved by the Board and duly executed by an executive officer of the Company. For the avoidance of doubt, in no event will the provisions of the Plan govern the annual cash retainers paid pursuant to this Program.</w:t>
      </w:r>
      <w:r>
        <w:rPr>
          <w:rFonts w:ascii="Times New Roman" w:hAnsi="Times New Roman"/>
          <w:color w:val="000000"/>
          <w:sz w:val="20"/>
        </w:rPr>
        <w:t xml:space="preserv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fdmt-ex31_1.htm"/>
      <w:bookmarkStart w:id="25" w:name="ksfdmtex31_1"/>
      <w:bookmarkEnd w:id="24"/>
      <w:bookmarkEnd w:id="25"/>
      <w:r>
        <w:rPr/>
        <w:t> </w:t>
      </w:r>
      <w:r>
        <w:br w:type="page"/>
      </w:r>
    </w:p>
    <w:p>
      <w:pPr>
        <w:pStyle w:val="TextBody"/>
        <w:bidi w:val="0"/>
        <w:jc w:val="right"/>
        <w:rPr>
          <w:rFonts w:ascii="Arial" w:hAnsi="Arial"/>
          <w:b/>
          <w:color w:val="000000"/>
          <w:sz w:val="20"/>
        </w:rPr>
      </w:pPr>
      <w:r>
        <w:rPr>
          <w:rFonts w:ascii="Arial" w:hAnsi="Arial"/>
          <w:b/>
          <w:color w:val="000000"/>
          <w:sz w:val="20"/>
        </w:rPr>
        <w:t>Exhibit 31.1</w:t>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CERTIFICATION OF PRINCIPAL EXECUTIVE OFFICER</w:t>
      </w:r>
    </w:p>
    <w:p>
      <w:pPr>
        <w:pStyle w:val="TextBody"/>
        <w:bidi w:val="0"/>
        <w:jc w:val="center"/>
        <w:rPr>
          <w:rFonts w:ascii="Times New Roman" w:hAnsi="Times New Roman"/>
          <w:sz w:val="20"/>
        </w:rPr>
      </w:pPr>
      <w:r>
        <w:rPr>
          <w:rFonts w:ascii="Arial" w:hAnsi="Arial"/>
          <w:b/>
          <w:color w:val="000000"/>
          <w:sz w:val="20"/>
        </w:rPr>
        <w:t>PURSUANT TO RULES 13a-14(a) AND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15d-14(a) UNDER THE EXCHANGE ACT OF 1934,</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AS ADOPTED PURSUANT TO SECTION 302 OF THE SARBANES-OXLEY ACT OF 2002</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 David Kirn, certify that:</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1.</w:t>
      </w:r>
    </w:p>
    <w:p>
      <w:pPr>
        <w:pStyle w:val="TextBody"/>
        <w:bidi w:val="0"/>
        <w:jc w:val="left"/>
        <w:rPr>
          <w:rFonts w:ascii="Arial" w:hAnsi="Arial"/>
          <w:color w:val="000000"/>
          <w:sz w:val="20"/>
        </w:rPr>
      </w:pPr>
      <w:r>
        <w:rPr>
          <w:rFonts w:ascii="Arial" w:hAnsi="Arial"/>
          <w:color w:val="000000"/>
          <w:sz w:val="20"/>
        </w:rPr>
        <w:t>I have reviewed this Quarterly Report on Form 10-Q of 4D Molecular Therapeutics, Inc.;</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2.</w:t>
      </w:r>
    </w:p>
    <w:p>
      <w:pPr>
        <w:pStyle w:val="TextBody"/>
        <w:bidi w:val="0"/>
        <w:jc w:val="left"/>
        <w:rPr>
          <w:rFonts w:ascii="Arial" w:hAnsi="Arial"/>
          <w:color w:val="000000"/>
          <w:sz w:val="20"/>
        </w:rPr>
      </w:pPr>
      <w:r>
        <w:rPr>
          <w:rFonts w:ascii="Arial" w:hAnsi="Arial"/>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3.</w:t>
      </w:r>
    </w:p>
    <w:p>
      <w:pPr>
        <w:pStyle w:val="TextBody"/>
        <w:bidi w:val="0"/>
        <w:jc w:val="left"/>
        <w:rPr>
          <w:rFonts w:ascii="Arial" w:hAnsi="Arial"/>
          <w:color w:val="000000"/>
          <w:sz w:val="20"/>
        </w:rPr>
      </w:pPr>
      <w:r>
        <w:rPr>
          <w:rFonts w:ascii="Arial" w:hAnsi="Arial"/>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4.</w:t>
      </w:r>
    </w:p>
    <w:p>
      <w:pPr>
        <w:pStyle w:val="TextBody"/>
        <w:bidi w:val="0"/>
        <w:jc w:val="left"/>
        <w:rPr>
          <w:rFonts w:ascii="Arial" w:hAnsi="Arial"/>
          <w:color w:val="000000"/>
          <w:sz w:val="20"/>
        </w:rPr>
      </w:pPr>
      <w:r>
        <w:rPr>
          <w:rFonts w:ascii="Arial" w:hAnsi="Arial"/>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a.</w:t>
      </w:r>
    </w:p>
    <w:p>
      <w:pPr>
        <w:pStyle w:val="TextBody"/>
        <w:bidi w:val="0"/>
        <w:jc w:val="left"/>
        <w:rPr>
          <w:rFonts w:ascii="Arial" w:hAnsi="Arial"/>
          <w:color w:val="000000"/>
          <w:sz w:val="20"/>
        </w:rPr>
      </w:pPr>
      <w:r>
        <w:rPr>
          <w:rFonts w:ascii="Arial" w:hAnsi="Arial"/>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b.</w:t>
      </w:r>
    </w:p>
    <w:p>
      <w:pPr>
        <w:pStyle w:val="TextBody"/>
        <w:bidi w:val="0"/>
        <w:jc w:val="left"/>
        <w:rPr>
          <w:rFonts w:ascii="Arial" w:hAnsi="Arial"/>
          <w:color w:val="000000"/>
          <w:sz w:val="20"/>
        </w:rPr>
      </w:pPr>
      <w:r>
        <w:rPr>
          <w:rFonts w:ascii="Arial" w:hAnsi="Arial"/>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c.</w:t>
      </w:r>
    </w:p>
    <w:p>
      <w:pPr>
        <w:pStyle w:val="TextBody"/>
        <w:bidi w:val="0"/>
        <w:jc w:val="left"/>
        <w:rPr>
          <w:rFonts w:ascii="Arial" w:hAnsi="Arial"/>
          <w:color w:val="000000"/>
          <w:sz w:val="20"/>
        </w:rPr>
      </w:pPr>
      <w:r>
        <w:rPr>
          <w:rFonts w:ascii="Arial" w:hAnsi="Arial"/>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d.</w:t>
      </w:r>
    </w:p>
    <w:p>
      <w:pPr>
        <w:pStyle w:val="TextBody"/>
        <w:bidi w:val="0"/>
        <w:jc w:val="left"/>
        <w:rPr>
          <w:rFonts w:ascii="Arial" w:hAnsi="Arial"/>
          <w:color w:val="000000"/>
          <w:sz w:val="20"/>
        </w:rPr>
      </w:pPr>
      <w:r>
        <w:rPr>
          <w:rFonts w:ascii="Arial" w:hAnsi="Arial"/>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5.</w:t>
      </w:r>
    </w:p>
    <w:p>
      <w:pPr>
        <w:pStyle w:val="TextBody"/>
        <w:bidi w:val="0"/>
        <w:jc w:val="left"/>
        <w:rPr>
          <w:rFonts w:ascii="Arial" w:hAnsi="Arial"/>
          <w:color w:val="000000"/>
          <w:sz w:val="20"/>
        </w:rPr>
      </w:pPr>
      <w:r>
        <w:rPr>
          <w:rFonts w:ascii="Arial" w:hAnsi="Arial"/>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a.</w:t>
      </w:r>
    </w:p>
    <w:p>
      <w:pPr>
        <w:pStyle w:val="TextBody"/>
        <w:bidi w:val="0"/>
        <w:jc w:val="left"/>
        <w:rPr>
          <w:rFonts w:ascii="Arial" w:hAnsi="Arial"/>
          <w:color w:val="000000"/>
          <w:sz w:val="20"/>
        </w:rPr>
      </w:pPr>
      <w:r>
        <w:rPr>
          <w:rFonts w:ascii="Arial" w:hAnsi="Arial"/>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b.</w:t>
      </w:r>
    </w:p>
    <w:p>
      <w:pPr>
        <w:pStyle w:val="TextBody"/>
        <w:bidi w:val="0"/>
        <w:jc w:val="left"/>
        <w:rPr>
          <w:rFonts w:ascii="Arial" w:hAnsi="Arial"/>
          <w:color w:val="000000"/>
          <w:sz w:val="20"/>
        </w:rPr>
      </w:pPr>
      <w:r>
        <w:rPr>
          <w:rFonts w:ascii="Arial" w:hAnsi="Arial"/>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718" w:type="dxa"/>
        <w:jc w:val="left"/>
        <w:tblInd w:w="0" w:type="dxa"/>
        <w:tblLayout w:type="fixed"/>
        <w:tblCellMar>
          <w:top w:w="28" w:type="dxa"/>
          <w:left w:w="28" w:type="dxa"/>
          <w:bottom w:w="28" w:type="dxa"/>
          <w:right w:w="28" w:type="dxa"/>
        </w:tblCellMar>
      </w:tblPr>
      <w:tblGrid>
        <w:gridCol w:w="1831"/>
        <w:gridCol w:w="451"/>
        <w:gridCol w:w="3436"/>
      </w:tblGrid>
      <w:tr>
        <w:trPr/>
        <w:tc>
          <w:tcPr>
            <w:tcW w:w="183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436" w:type="dxa"/>
            <w:tcBorders/>
            <w:vAlign w:val="center"/>
          </w:tcPr>
          <w:p>
            <w:pPr>
              <w:pStyle w:val="TableContents"/>
              <w:bidi w:val="0"/>
              <w:spacing w:before="0" w:after="283"/>
              <w:jc w:val="left"/>
              <w:rPr>
                <w:sz w:val="4"/>
                <w:szCs w:val="4"/>
              </w:rPr>
            </w:pPr>
            <w:r>
              <w:rPr>
                <w:sz w:val="4"/>
                <w:szCs w:val="4"/>
              </w:rPr>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Dated: May 7, 2026</w:t>
            </w:r>
          </w:p>
        </w:tc>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By:</w:t>
            </w:r>
            <w:r>
              <w:rPr>
                <w:rFonts w:ascii="Times New Roman" w:hAnsi="Times New Roman"/>
                <w:color w:val="000000"/>
                <w:sz w:val="20"/>
              </w:rPr>
              <w:t xml:space="preserve"> </w:t>
            </w:r>
          </w:p>
        </w:tc>
        <w:tc>
          <w:tcPr>
            <w:tcW w:w="3436"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/s/ David Kirn</w:t>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David Kirn</w:t>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President and Chief Executive Officer</w:t>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fdmt-ex31_2.htm"/>
      <w:bookmarkStart w:id="27" w:name="ksfdmtex31_2"/>
      <w:bookmarkEnd w:id="26"/>
      <w:bookmarkEnd w:id="27"/>
      <w:r>
        <w:rPr/>
        <w:t> </w:t>
      </w:r>
      <w:r>
        <w:br w:type="page"/>
      </w:r>
    </w:p>
    <w:p>
      <w:pPr>
        <w:pStyle w:val="TextBody"/>
        <w:bidi w:val="0"/>
        <w:jc w:val="right"/>
        <w:rPr>
          <w:rFonts w:ascii="Arial" w:hAnsi="Arial"/>
          <w:b/>
          <w:color w:val="000000"/>
          <w:sz w:val="20"/>
        </w:rPr>
      </w:pPr>
      <w:r>
        <w:rPr>
          <w:rFonts w:ascii="Arial" w:hAnsi="Arial"/>
          <w:b/>
          <w:color w:val="000000"/>
          <w:sz w:val="20"/>
        </w:rPr>
        <w:t>Exhibit 31.2</w:t>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CERTIFICATION OF PRINCIPAL FINANCIAL OFFICER</w:t>
      </w:r>
    </w:p>
    <w:p>
      <w:pPr>
        <w:pStyle w:val="TextBody"/>
        <w:bidi w:val="0"/>
        <w:jc w:val="center"/>
        <w:rPr>
          <w:rFonts w:ascii="Times New Roman" w:hAnsi="Times New Roman"/>
          <w:sz w:val="20"/>
        </w:rPr>
      </w:pPr>
      <w:r>
        <w:rPr>
          <w:rFonts w:ascii="Arial" w:hAnsi="Arial"/>
          <w:b/>
          <w:color w:val="000000"/>
          <w:sz w:val="20"/>
        </w:rPr>
        <w:t>PURSUANT TO EXCHANGE ACT RULES 13a-14(a) AND</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15d-14(a) UNDER THE SECURITIES EXCHANGE ACT OF 1934,</w:t>
      </w:r>
    </w:p>
    <w:p>
      <w:pPr>
        <w:pStyle w:val="TextBody"/>
        <w:bidi w:val="0"/>
        <w:jc w:val="center"/>
        <w:rPr>
          <w:rFonts w:ascii="Arial" w:hAnsi="Arial"/>
          <w:b/>
          <w:color w:val="000000"/>
          <w:sz w:val="20"/>
        </w:rPr>
      </w:pPr>
      <w:r>
        <w:rPr>
          <w:rFonts w:ascii="Arial" w:hAnsi="Arial"/>
          <w:b/>
          <w:color w:val="000000"/>
          <w:sz w:val="20"/>
        </w:rPr>
        <w:t>AS ADOPTED PURSUANT TO SECTION 302 OF THE SARBANES-OXLEY ACT OF 2002</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 Kristian Humer, certify that:</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1.</w:t>
      </w:r>
    </w:p>
    <w:p>
      <w:pPr>
        <w:pStyle w:val="TextBody"/>
        <w:bidi w:val="0"/>
        <w:jc w:val="left"/>
        <w:rPr>
          <w:rFonts w:ascii="Arial" w:hAnsi="Arial"/>
          <w:color w:val="000000"/>
          <w:sz w:val="20"/>
        </w:rPr>
      </w:pPr>
      <w:r>
        <w:rPr>
          <w:rFonts w:ascii="Arial" w:hAnsi="Arial"/>
          <w:color w:val="000000"/>
          <w:sz w:val="20"/>
        </w:rPr>
        <w:t>I have reviewed this Quarterly Report on Form 10-Q of 4D Molecular Therapeutics, Inc.;</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2.</w:t>
      </w:r>
    </w:p>
    <w:p>
      <w:pPr>
        <w:pStyle w:val="TextBody"/>
        <w:bidi w:val="0"/>
        <w:jc w:val="left"/>
        <w:rPr>
          <w:rFonts w:ascii="Arial" w:hAnsi="Arial"/>
          <w:color w:val="000000"/>
          <w:sz w:val="20"/>
        </w:rPr>
      </w:pPr>
      <w:r>
        <w:rPr>
          <w:rFonts w:ascii="Arial" w:hAnsi="Arial"/>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3.</w:t>
      </w:r>
    </w:p>
    <w:p>
      <w:pPr>
        <w:pStyle w:val="TextBody"/>
        <w:bidi w:val="0"/>
        <w:jc w:val="left"/>
        <w:rPr>
          <w:rFonts w:ascii="Arial" w:hAnsi="Arial"/>
          <w:color w:val="000000"/>
          <w:sz w:val="20"/>
        </w:rPr>
      </w:pPr>
      <w:r>
        <w:rPr>
          <w:rFonts w:ascii="Arial" w:hAnsi="Arial"/>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4.</w:t>
      </w:r>
    </w:p>
    <w:p>
      <w:pPr>
        <w:pStyle w:val="TextBody"/>
        <w:bidi w:val="0"/>
        <w:jc w:val="left"/>
        <w:rPr>
          <w:rFonts w:ascii="Arial" w:hAnsi="Arial"/>
          <w:color w:val="000000"/>
          <w:sz w:val="20"/>
        </w:rPr>
      </w:pPr>
      <w:r>
        <w:rPr>
          <w:rFonts w:ascii="Arial" w:hAnsi="Arial"/>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a.</w:t>
      </w:r>
    </w:p>
    <w:p>
      <w:pPr>
        <w:pStyle w:val="TextBody"/>
        <w:bidi w:val="0"/>
        <w:jc w:val="left"/>
        <w:rPr>
          <w:rFonts w:ascii="Arial" w:hAnsi="Arial"/>
          <w:color w:val="000000"/>
          <w:sz w:val="20"/>
        </w:rPr>
      </w:pPr>
      <w:r>
        <w:rPr>
          <w:rFonts w:ascii="Arial" w:hAnsi="Arial"/>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b.</w:t>
      </w:r>
    </w:p>
    <w:p>
      <w:pPr>
        <w:pStyle w:val="TextBody"/>
        <w:bidi w:val="0"/>
        <w:jc w:val="left"/>
        <w:rPr>
          <w:rFonts w:ascii="Arial" w:hAnsi="Arial"/>
          <w:color w:val="000000"/>
          <w:sz w:val="20"/>
        </w:rPr>
      </w:pPr>
      <w:r>
        <w:rPr>
          <w:rFonts w:ascii="Arial" w:hAnsi="Arial"/>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c.</w:t>
      </w:r>
    </w:p>
    <w:p>
      <w:pPr>
        <w:pStyle w:val="TextBody"/>
        <w:bidi w:val="0"/>
        <w:jc w:val="left"/>
        <w:rPr>
          <w:rFonts w:ascii="Arial" w:hAnsi="Arial"/>
          <w:color w:val="000000"/>
          <w:sz w:val="20"/>
        </w:rPr>
      </w:pPr>
      <w:r>
        <w:rPr>
          <w:rFonts w:ascii="Arial" w:hAnsi="Arial"/>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d.</w:t>
      </w:r>
    </w:p>
    <w:p>
      <w:pPr>
        <w:pStyle w:val="TextBody"/>
        <w:bidi w:val="0"/>
        <w:jc w:val="left"/>
        <w:rPr>
          <w:rFonts w:ascii="Arial" w:hAnsi="Arial"/>
          <w:color w:val="000000"/>
          <w:sz w:val="20"/>
        </w:rPr>
      </w:pPr>
      <w:r>
        <w:rPr>
          <w:rFonts w:ascii="Arial" w:hAnsi="Arial"/>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5.</w:t>
      </w:r>
    </w:p>
    <w:p>
      <w:pPr>
        <w:pStyle w:val="TextBody"/>
        <w:bidi w:val="0"/>
        <w:jc w:val="left"/>
        <w:rPr>
          <w:rFonts w:ascii="Arial" w:hAnsi="Arial"/>
          <w:color w:val="000000"/>
          <w:sz w:val="20"/>
        </w:rPr>
      </w:pPr>
      <w:r>
        <w:rPr>
          <w:rFonts w:ascii="Arial" w:hAnsi="Arial"/>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a.</w:t>
      </w:r>
    </w:p>
    <w:p>
      <w:pPr>
        <w:pStyle w:val="TextBody"/>
        <w:bidi w:val="0"/>
        <w:jc w:val="left"/>
        <w:rPr>
          <w:rFonts w:ascii="Arial" w:hAnsi="Arial"/>
          <w:color w:val="000000"/>
          <w:sz w:val="20"/>
        </w:rPr>
      </w:pPr>
      <w:r>
        <w:rPr>
          <w:rFonts w:ascii="Arial" w:hAnsi="Arial"/>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b.</w:t>
      </w:r>
    </w:p>
    <w:p>
      <w:pPr>
        <w:pStyle w:val="TextBody"/>
        <w:bidi w:val="0"/>
        <w:jc w:val="left"/>
        <w:rPr>
          <w:rFonts w:ascii="Arial" w:hAnsi="Arial"/>
          <w:color w:val="000000"/>
          <w:sz w:val="20"/>
        </w:rPr>
      </w:pPr>
      <w:r>
        <w:rPr>
          <w:rFonts w:ascii="Arial" w:hAnsi="Arial"/>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198" w:type="dxa"/>
        <w:jc w:val="left"/>
        <w:tblInd w:w="0" w:type="dxa"/>
        <w:tblLayout w:type="fixed"/>
        <w:tblCellMar>
          <w:top w:w="28" w:type="dxa"/>
          <w:left w:w="28" w:type="dxa"/>
          <w:bottom w:w="28" w:type="dxa"/>
          <w:right w:w="28" w:type="dxa"/>
        </w:tblCellMar>
      </w:tblPr>
      <w:tblGrid>
        <w:gridCol w:w="1831"/>
        <w:gridCol w:w="451"/>
        <w:gridCol w:w="3916"/>
      </w:tblGrid>
      <w:tr>
        <w:trPr/>
        <w:tc>
          <w:tcPr>
            <w:tcW w:w="183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916" w:type="dxa"/>
            <w:tcBorders/>
            <w:vAlign w:val="center"/>
          </w:tcPr>
          <w:p>
            <w:pPr>
              <w:pStyle w:val="TableContents"/>
              <w:bidi w:val="0"/>
              <w:spacing w:before="0" w:after="283"/>
              <w:jc w:val="left"/>
              <w:rPr>
                <w:sz w:val="4"/>
                <w:szCs w:val="4"/>
              </w:rPr>
            </w:pPr>
            <w:r>
              <w:rPr>
                <w:sz w:val="4"/>
                <w:szCs w:val="4"/>
              </w:rPr>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Dated: May 7, 2026</w:t>
            </w:r>
          </w:p>
        </w:tc>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By:</w:t>
            </w:r>
            <w:r>
              <w:rPr>
                <w:rFonts w:ascii="Times New Roman" w:hAnsi="Times New Roman"/>
                <w:color w:val="000000"/>
                <w:sz w:val="20"/>
              </w:rPr>
              <w:t xml:space="preserve"> </w:t>
            </w:r>
          </w:p>
        </w:tc>
        <w:tc>
          <w:tcPr>
            <w:tcW w:w="3916"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/s/ Kristian Humer</w:t>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Kristian Humer</w:t>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tcMar>
              <w:top w:w="0" w:type="dxa"/>
              <w:left w:w="0" w:type="dxa"/>
              <w:bottom w:w="0" w:type="dxa"/>
              <w:right w:w="0" w:type="dxa"/>
            </w:tcMar>
            <w:vAlign w:val="center"/>
          </w:tcPr>
          <w:p>
            <w:pPr>
              <w:pStyle w:val="TableContents"/>
              <w:bidi w:val="0"/>
              <w:spacing w:before="14" w:after="187"/>
              <w:jc w:val="left"/>
              <w:rPr>
                <w:rFonts w:ascii="Arial" w:hAnsi="Arial"/>
                <w:color w:val="000000"/>
                <w:sz w:val="20"/>
              </w:rPr>
            </w:pPr>
            <w:r>
              <w:rPr>
                <w:rFonts w:ascii="Arial" w:hAnsi="Arial"/>
                <w:color w:val="000000"/>
                <w:sz w:val="20"/>
              </w:rPr>
              <w:t>Chief Financial Officer</w:t>
              <w:b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fdmt-ex32_1.htm"/>
      <w:bookmarkStart w:id="29" w:name="ksfdmtex32_1"/>
      <w:bookmarkEnd w:id="28"/>
      <w:bookmarkEnd w:id="29"/>
      <w:r>
        <w:rPr/>
        <w:t> </w:t>
      </w:r>
      <w:r>
        <w:br w:type="page"/>
      </w:r>
    </w:p>
    <w:p>
      <w:pPr>
        <w:pStyle w:val="TextBody"/>
        <w:bidi w:val="0"/>
        <w:jc w:val="right"/>
        <w:rPr>
          <w:rFonts w:ascii="Arial" w:hAnsi="Arial"/>
          <w:b/>
          <w:color w:val="000000"/>
          <w:sz w:val="20"/>
        </w:rPr>
      </w:pPr>
      <w:r>
        <w:rPr>
          <w:rFonts w:ascii="Arial" w:hAnsi="Arial"/>
          <w:b/>
          <w:color w:val="000000"/>
          <w:sz w:val="20"/>
        </w:rPr>
        <w:t>Exhibit 32.1</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CERTIFICATIONS OF PRINCIPAL EXECUTIVE OFFICER AND PRINCIPAL FINANCIAL OFFICER</w:t>
      </w:r>
    </w:p>
    <w:p>
      <w:pPr>
        <w:pStyle w:val="TextBody"/>
        <w:bidi w:val="0"/>
        <w:jc w:val="center"/>
        <w:rPr>
          <w:rFonts w:ascii="Arial" w:hAnsi="Arial"/>
          <w:b/>
          <w:color w:val="000000"/>
          <w:sz w:val="20"/>
        </w:rPr>
      </w:pPr>
      <w:r>
        <w:rPr>
          <w:rFonts w:ascii="Arial" w:hAnsi="Arial"/>
          <w:b/>
          <w:color w:val="000000"/>
          <w:sz w:val="20"/>
        </w:rPr>
        <w:t>PURSUANT TO 18 U.S.C. SECTION 1350,</w:t>
      </w:r>
    </w:p>
    <w:p>
      <w:pPr>
        <w:pStyle w:val="TextBody"/>
        <w:bidi w:val="0"/>
        <w:jc w:val="center"/>
        <w:rPr>
          <w:rFonts w:ascii="Arial" w:hAnsi="Arial"/>
          <w:b/>
          <w:color w:val="000000"/>
          <w:sz w:val="20"/>
        </w:rPr>
      </w:pPr>
      <w:r>
        <w:rPr>
          <w:rFonts w:ascii="Arial" w:hAnsi="Arial"/>
          <w:b/>
          <w:color w:val="000000"/>
          <w:sz w:val="20"/>
        </w:rPr>
        <w:t>AS ADOPTED PURSUANT TO SECTION 906</w:t>
      </w:r>
    </w:p>
    <w:p>
      <w:pPr>
        <w:pStyle w:val="TextBody"/>
        <w:bidi w:val="0"/>
        <w:jc w:val="center"/>
        <w:rPr>
          <w:rFonts w:ascii="Arial" w:hAnsi="Arial"/>
          <w:b/>
          <w:color w:val="000000"/>
          <w:sz w:val="20"/>
        </w:rPr>
      </w:pPr>
      <w:r>
        <w:rPr>
          <w:rFonts w:ascii="Arial" w:hAnsi="Arial"/>
          <w:b/>
          <w:color w:val="000000"/>
          <w:sz w:val="20"/>
        </w:rPr>
        <w:t>OF THE SARBANES-OXLEY ACT OF 2002</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connection with the Quarterly Report on Form 10-Q (the “Report”) of 4D Molecular Therapeutics, Inc. (the “Company”) for the period ended March 31, 2026, David Kirn, as President and Chief Executive Officer of the Company, and Kristian Humer, as Chief Financial Officer of the Company, each hereby certify, pursuant to 18 U.S.C. Section 1350, as adopted pursuant to Section 906 of the Sarbanes-Oxley Act of 2002, that, to the best of his knowledge:</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a)</w:t>
      </w:r>
    </w:p>
    <w:p>
      <w:pPr>
        <w:pStyle w:val="TextBody"/>
        <w:bidi w:val="0"/>
        <w:jc w:val="left"/>
        <w:rPr>
          <w:rFonts w:ascii="Arial" w:hAnsi="Arial"/>
          <w:color w:val="000000"/>
          <w:sz w:val="20"/>
        </w:rPr>
      </w:pPr>
      <w:r>
        <w:rPr>
          <w:rFonts w:ascii="Arial" w:hAnsi="Arial"/>
          <w:color w:val="000000"/>
          <w:sz w:val="20"/>
        </w:rPr>
        <w:t xml:space="preserve">the Company’s Report for the period ended March 31, 2026 fully complies with the requirements of Section 13(a) or 15(d) of the Securities Exchange Act of 1934, as amended; and </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b)</w:t>
      </w:r>
    </w:p>
    <w:p>
      <w:pPr>
        <w:pStyle w:val="TextBody"/>
        <w:bidi w:val="0"/>
        <w:jc w:val="left"/>
        <w:rPr>
          <w:rFonts w:ascii="Arial" w:hAnsi="Arial"/>
          <w:color w:val="000000"/>
          <w:sz w:val="20"/>
        </w:rPr>
      </w:pPr>
      <w:r>
        <w:rPr>
          <w:rFonts w:ascii="Arial" w:hAnsi="Arial"/>
          <w:color w:val="000000"/>
          <w:sz w:val="20"/>
        </w:rPr>
        <w:t>the information contained in such Report fairly presents, in all material respects, the financial condition and results of operations of the Company.</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Dated: May 7, 2026</w:t>
      </w:r>
    </w:p>
    <w:p>
      <w:pPr>
        <w:pStyle w:val="TextBody"/>
        <w:bidi w:val="0"/>
        <w:jc w:val="left"/>
        <w:rPr/>
      </w:pPr>
      <w:r>
        <w:rPr/>
        <w:t> </w:t>
      </w:r>
    </w:p>
    <w:tbl>
      <w:tblPr>
        <w:tblW w:w="3857" w:type="dxa"/>
        <w:jc w:val="left"/>
        <w:tblInd w:w="0" w:type="dxa"/>
        <w:tblLayout w:type="fixed"/>
        <w:tblCellMar>
          <w:top w:w="28" w:type="dxa"/>
          <w:left w:w="28" w:type="dxa"/>
          <w:bottom w:w="28" w:type="dxa"/>
          <w:right w:w="28" w:type="dxa"/>
        </w:tblCellMar>
      </w:tblPr>
      <w:tblGrid>
        <w:gridCol w:w="421"/>
        <w:gridCol w:w="3436"/>
      </w:tblGrid>
      <w:tr>
        <w:trPr/>
        <w:tc>
          <w:tcPr>
            <w:tcW w:w="421" w:type="dxa"/>
            <w:tcBorders/>
            <w:vAlign w:val="center"/>
          </w:tcPr>
          <w:p>
            <w:pPr>
              <w:pStyle w:val="TableContents"/>
              <w:bidi w:val="0"/>
              <w:spacing w:before="0" w:after="283"/>
              <w:jc w:val="left"/>
              <w:rPr>
                <w:sz w:val="4"/>
                <w:szCs w:val="4"/>
              </w:rPr>
            </w:pPr>
            <w:r>
              <w:rPr>
                <w:sz w:val="4"/>
                <w:szCs w:val="4"/>
              </w:rPr>
            </w:r>
          </w:p>
        </w:tc>
        <w:tc>
          <w:tcPr>
            <w:tcW w:w="3436"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34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David Kirn</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David Kirn</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President and Chief Executive Officer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(Principal Executive Officer)</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Dated: May 7, 2026</w:t>
      </w:r>
    </w:p>
    <w:p>
      <w:pPr>
        <w:pStyle w:val="TextBody"/>
        <w:bidi w:val="0"/>
        <w:jc w:val="left"/>
        <w:rPr/>
      </w:pPr>
      <w:r>
        <w:rPr/>
        <w:t> </w:t>
      </w:r>
    </w:p>
    <w:tbl>
      <w:tblPr>
        <w:tblW w:w="4337" w:type="dxa"/>
        <w:jc w:val="left"/>
        <w:tblInd w:w="0" w:type="dxa"/>
        <w:tblLayout w:type="fixed"/>
        <w:tblCellMar>
          <w:top w:w="28" w:type="dxa"/>
          <w:left w:w="28" w:type="dxa"/>
          <w:bottom w:w="28" w:type="dxa"/>
          <w:right w:w="28" w:type="dxa"/>
        </w:tblCellMar>
      </w:tblPr>
      <w:tblGrid>
        <w:gridCol w:w="421"/>
        <w:gridCol w:w="3916"/>
      </w:tblGrid>
      <w:tr>
        <w:trPr/>
        <w:tc>
          <w:tcPr>
            <w:tcW w:w="421" w:type="dxa"/>
            <w:tcBorders/>
            <w:vAlign w:val="center"/>
          </w:tcPr>
          <w:p>
            <w:pPr>
              <w:pStyle w:val="TableContents"/>
              <w:bidi w:val="0"/>
              <w:spacing w:before="0" w:after="283"/>
              <w:jc w:val="left"/>
              <w:rPr>
                <w:sz w:val="4"/>
                <w:szCs w:val="4"/>
              </w:rPr>
            </w:pPr>
            <w:r>
              <w:rPr>
                <w:sz w:val="4"/>
                <w:szCs w:val="4"/>
              </w:rPr>
            </w:r>
          </w:p>
        </w:tc>
        <w:tc>
          <w:tcPr>
            <w:tcW w:w="3916"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39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Kristian Humer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Kristian Humer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Chief Financial Officer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tcMar>
              <w:top w:w="0" w:type="dxa"/>
              <w:left w:w="0" w:type="dxa"/>
              <w:bottom w:w="0" w:type="dxa"/>
              <w:right w:w="0" w:type="dxa"/>
            </w:tcMar>
            <w:vAlign w:val="center"/>
          </w:tcPr>
          <w:p>
            <w:pPr>
              <w:pStyle w:val="TableContents"/>
              <w:bidi w:val="0"/>
              <w:spacing w:before="14" w:after="187"/>
              <w:jc w:val="left"/>
              <w:rPr>
                <w:rFonts w:ascii="Arial" w:hAnsi="Arial"/>
                <w:color w:val="000000"/>
                <w:sz w:val="20"/>
              </w:rPr>
            </w:pPr>
            <w:r>
              <w:rPr>
                <w:rFonts w:ascii="Arial" w:hAnsi="Arial"/>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50648/000119312520318186/d13863dex31.htm" TargetMode="External"/><Relationship Id="rId3" Type="http://schemas.openxmlformats.org/officeDocument/2006/relationships/hyperlink" Target="https://www.sec.gov/Archives/edgar/data/1650648/000119312525228289/fdmt-ex3_1.htm" TargetMode="External"/><Relationship Id="rId4" Type="http://schemas.openxmlformats.org/officeDocument/2006/relationships/hyperlink" Target="https://www.sec.gov/Archives/edgar/data/1650648/000119312526114075/fdmt-ex4_1.htm" TargetMode="External"/><Relationship Id="rId5" Type="http://schemas.openxmlformats.org/officeDocument/2006/relationships/hyperlink" Target="https://www.sec.gov/Archives/edgar/data/1650648/000119312520311111/d69563dex42.htm" TargetMode="External"/><Relationship Id="rId6" Type="http://schemas.openxmlformats.org/officeDocument/2006/relationships/hyperlink" Target="https://www.sec.gov/Archives/edgar/data/1650648/000119312524030203/d185041dex41.htm" TargetMode="External"/><Relationship Id="rId7" Type="http://schemas.openxmlformats.org/officeDocument/2006/relationships/hyperlink" Target="https://www.sec.gov/Archives/edgar/data/1650648/000095017024126370/fdmt-ex4_4.htm" TargetMode="External"/><Relationship Id="rId8" Type="http://schemas.openxmlformats.org/officeDocument/2006/relationships/hyperlink" Target="https://www.sec.gov/Archives/edgar/data/1650648/000095017024135381/fdmt-ex4_1.htm" TargetMode="External"/><Relationship Id="rId9" Type="http://schemas.openxmlformats.org/officeDocument/2006/relationships/hyperlink" Target="https://www.sec.gov/Archives/edgar/data/1650648/000119312525272286/d89818dex41.htm" TargetMode="External"/><Relationship Id="rId10" Type="http://schemas.openxmlformats.org/officeDocument/2006/relationships/hyperlink" Target="https://www.sec.gov/Archives/edgar/data/1650648/000119312526022559/fdmt-ex4_1.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66726</Words>
  <Characters>372901</Characters>
  <CharactersWithSpaces>440138</CharactersWithSpaces>
  <Paragraphs>5368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